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第6课《我们神圣的国土》教案设计</w:t>
      </w: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第一课时  辽阔的国土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95"/>
        <w:gridCol w:w="660"/>
        <w:gridCol w:w="1290"/>
        <w:gridCol w:w="810"/>
        <w:gridCol w:w="1635"/>
        <w:gridCol w:w="765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课题</w:t>
            </w:r>
          </w:p>
        </w:tc>
        <w:tc>
          <w:tcPr>
            <w:tcW w:w="2995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我们神圣的国土</w:t>
            </w:r>
          </w:p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第一课时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单元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单元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学科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道德与法治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年级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核心</w:t>
            </w:r>
          </w:p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素养</w:t>
            </w:r>
          </w:p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目标</w:t>
            </w:r>
          </w:p>
        </w:tc>
        <w:tc>
          <w:tcPr>
            <w:tcW w:w="9286" w:type="dxa"/>
            <w:gridSpan w:val="7"/>
            <w:noWrap w:val="0"/>
            <w:vAlign w:val="top"/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政治认同：知道台湾是我国不可分割的一部分，祖国的领土神圣不可侵犯。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道德修养：学会看中国地图、行政区划地图等，培养学生良好的读图习惯。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法治观念：知道我国幅员辽阔，为祖国感到自豪，激发热爱祖国的情感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健全人格：知道我国的地理位置、领土面积、海陆疆域、行政区划。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责任意识：激发学生的爱国意识和爱国热情，坚决捍卫领土完整。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重点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</w:rPr>
              <w:t>知道我国的地理位置</w:t>
            </w: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  <w:lang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</w:rPr>
              <w:t>疆域，行政区划。知道台湾是我国不可分割的一部分，祖国的领土神圣不可侵犯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难点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</w:rPr>
              <w:t>学会看中国地图、行政区划地图等，培养学生良好的读图习惯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</w:p>
    <w:tbl>
      <w:tblPr>
        <w:tblStyle w:val="8"/>
        <w:tblW w:w="0" w:type="auto"/>
        <w:tblInd w:w="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2"/>
        <w:gridCol w:w="3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6"/>
                <w:szCs w:val="26"/>
                <w:u w:val="none"/>
                <w:lang w:eastAsia="zh-CN"/>
              </w:rPr>
              <w:t>结合课程标准或者单元目标对本节课教学内容进行简要分析：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《辽阔的国土》是部编版五年级上册第三单元“我们的国土 我们的家园”第一课《神圣的国土》中的的第1课时，本课时的编写依据是《品德与社会课程标准》中主题五“我们的国家”第1条“知道我国的地理位置，领土面积，海陆疆域，行政区划。知道台湾是我国不可分割的一部分，祖国的领土神圣不可侵犯。”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二次备课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 xml:space="preserve">教学导入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firstLine="481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同学们，现在我们一起来欣赏一些祖国美丽风光的图片。(课件出示：祖国风光图片)然后想一想：看过之后你有什么感受?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firstLine="481"/>
              <w:textAlignment w:val="auto"/>
              <w:rPr>
                <w:rFonts w:hint="eastAsia" w:ascii="微软雅黑" w:hAnsi="微软雅黑" w:eastAsia="微软雅黑" w:cs="微软雅黑"/>
                <w:bCs/>
                <w:sz w:val="26"/>
                <w:szCs w:val="26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中国的版图像一只雄鸡，你知道我国的首都和全称是什么吗？是的，我们的祖国不仅风景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6"/>
                <w:szCs w:val="26"/>
                <w:lang w:val="en-US" w:eastAsia="zh-CN" w:bidi="ar-SA"/>
              </w:rPr>
              <w:t>秀丽，而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且幅员辽阔，那我们的祖国到底有多大?这节课，我们就共同来学习第三单元第一课《我们神圣的国土》。(板书课题)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----辽阔的国土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二、教学过程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第一学程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感受祖国有多大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我们的祖国有多大？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学法指导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第一步：自学要求（“学法指导”设计）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组长组织组员观察44页世界地图中中国的位置。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6"/>
                <w:szCs w:val="26"/>
                <w:lang w:val="en-US" w:eastAsia="zh-CN" w:bidi="ar-SA"/>
              </w:rPr>
              <w:t>第二步：互学要求（“学法指导”设计）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6"/>
                <w:szCs w:val="26"/>
                <w:lang w:val="en-US" w:eastAsia="zh-CN" w:bidi="ar-SA"/>
              </w:rPr>
              <w:t>（1）有序交流。组长主持，</w:t>
            </w: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主持组内成员有序交流课前自己搜集的资料。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6"/>
                <w:szCs w:val="26"/>
                <w:lang w:val="en-US" w:eastAsia="zh-CN" w:bidi="ar-SA"/>
              </w:rPr>
              <w:t xml:space="preserve">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（2）汇总组内同学意见。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（3）展学准备。组长做好组员的任务分工，做好展讲准备。                             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第三步：展学要求（“学法指导”设计）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大胆创新，用自己组喜欢的方式展学，声音要洪亮；其他小组认真倾听，做好补充和评价准备。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6"/>
                <w:szCs w:val="26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教师引领提升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祖国疆域的辽阔。那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我们的祖国到底有多大呢？用你喜欢的方式描述祖国之大。（诗歌，数据，旅游等。）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①世界各大国面积比较。②中国与欧洲面积比较。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中国陆地面积960多万平方千米，仅次于俄罗斯和加拿大，是世界上面积第三大的国家。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预设答案：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我们的祖国位于亚洲东部、太平洋的西岸。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【设计意图】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引导学生结合生活经验，跟同学分享对我国疆域的认识，通过世界地图中我国陆地面积与欧洲面积的对比，感受我国国土的辽阔。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中国的疆域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2：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观察《中国的疆域图》，找到我国的邻国以及隔海相望的国家，找到我国大陆濒临的四大海域和我国的台湾岛。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学法指导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第一步：互学要求（“学法指导”设计）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组长主持，组内互学，阅读课本45页中国疆域图，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阅读中国的疆域图，用红笔圈出陆上邻国，用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eastAsia="zh-CN"/>
              </w:rPr>
              <w:t>黑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色的笔圈出与我国隔海相望的国家，用蓝笔圈出我国的四大海域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展学准备。组长做好组员的任务分工，做好展讲准备。                             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第二步：展学要求（“学法指导”设计）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声音洪亮，语言流畅。其他小组同学认真倾听，积极补充，质疑，提问，并对小组整体展学表现进行评价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教师引领提升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（1）引导学生通过图里认识地图：黄色代表陆上邻国，绿色代表海上邻国。（2）我国管辖的海域面积约为300万平方千米。在我国辽阔的海域中，还散布着大大小小5000多个岛屿。生观察中国地图，钓鱼岛就是我们国家不可分割的领土。我国的海岸线长度为18000千米（包括岛屿岸线），陆上疆界长度为20000千米，连接后总长为38000千米。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预设答案：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四大海域：渤海、黄海、东海、南海。（自北向南）我国第一大岛：台湾岛。14个陆上邻国：朝鲜、俄罗斯、蒙古、哈萨克斯坦、吉尔吉斯斯坦、塔吉克斯坦、阿富汗、巴基斯坦、印度、尼泊尔、不丹、缅甸、老挝、越南。6个隔海相望的国家：韩国、日本、菲律宾、马来西亚、文莱、印度尼西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【设计意图】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Cs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旨在引导学生通过观察《中国的疆域》，认识我国的陆上邻国、与我国隔海相望的国家、我国大陆濒临的四大海域和我国的台湾岛。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 我国的行政区域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3：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我们的祖国这么大，是如何管理的呢？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学法指导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第一步：互学要求（“学法指导”设计）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组长主持，组内互学，阅读课本46页中国的行政区域图，找到自己家乡所属的省级行政区域，然后再查找相邻的省级行政区。（2）读阅读角了解5个自治区、4个直辖市，2个特别行政区。（3）分享搜集的有关台湾的资料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展学准备。组长做好组员的任务分工，做好展讲准备。                             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第二步：展学要求（“学法指导”设计）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声音洪亮，语言流畅。其他小组同学认真倾听，积极补充，质疑，提问，并对小组整体展学表现进行评价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教师引领提升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（1）宪法中有关特别行政区的规定。（2）台湾相关的文字视频资料。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预设答案：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23个省，5个自治区，4个直辖市，2个特别行政区。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【设计意图】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了解我国的行政区域，知道台湾是我国不可分割的一部分，感受祖国的每一寸土地都是神圣不可侵犯的。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三、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课堂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幅员辽阔的国土为中华民族的生存和发展提供了巨大的空间，我们世世代代在这片土地上生息繁衍。祖国的每一寸土地都神圣不可侵犯。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四、板书设计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820" w:firstLineChars="7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 辽阔的国土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960多万平方公里   神圣不可侵犯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2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  <w:lang w:eastAsia="zh-CN"/>
              </w:rPr>
              <w:t>教后记：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</w:tbl>
    <w:p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EAEC3"/>
    <w:multiLevelType w:val="singleLevel"/>
    <w:tmpl w:val="9DCEAEC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8CD0EF0"/>
    <w:multiLevelType w:val="singleLevel"/>
    <w:tmpl w:val="78CD0EF0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09A1BAC"/>
    <w:rsid w:val="1292021F"/>
    <w:rsid w:val="139C147B"/>
    <w:rsid w:val="13DF0040"/>
    <w:rsid w:val="14EF3AD1"/>
    <w:rsid w:val="17E666CF"/>
    <w:rsid w:val="17ED4C9E"/>
    <w:rsid w:val="18F325D1"/>
    <w:rsid w:val="1A2679B1"/>
    <w:rsid w:val="1BE23903"/>
    <w:rsid w:val="1F987E90"/>
    <w:rsid w:val="200E7599"/>
    <w:rsid w:val="205C0FF6"/>
    <w:rsid w:val="206770AC"/>
    <w:rsid w:val="227B471A"/>
    <w:rsid w:val="23CA2949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45841E4"/>
    <w:rsid w:val="47C65622"/>
    <w:rsid w:val="4E2579EC"/>
    <w:rsid w:val="4E2D3327"/>
    <w:rsid w:val="55061E47"/>
    <w:rsid w:val="56F37F4E"/>
    <w:rsid w:val="573C0B3A"/>
    <w:rsid w:val="595C6E91"/>
    <w:rsid w:val="5A6662DC"/>
    <w:rsid w:val="5BA707A0"/>
    <w:rsid w:val="5CF70ABE"/>
    <w:rsid w:val="5DB64E63"/>
    <w:rsid w:val="5DC540C3"/>
    <w:rsid w:val="5E214762"/>
    <w:rsid w:val="658E1F0C"/>
    <w:rsid w:val="65CC109B"/>
    <w:rsid w:val="66BA07DD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2140</Words>
  <Characters>2181</Characters>
  <Lines>1</Lines>
  <Paragraphs>1</Paragraphs>
  <TotalTime>1</TotalTime>
  <ScaleCrop>false</ScaleCrop>
  <LinksUpToDate>false</LinksUpToDate>
  <CharactersWithSpaces>2570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2024-07-09T16:04:41Z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FFFEDF2EB5B04D4BB293A508FD922D65</vt:lpwstr>
  </property>
</Properties>
</file>