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3E1B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ascii="微软雅黑" w:hAnsi="微软雅黑" w:eastAsia="微软雅黑" w:cs="微软雅黑"/>
          <w:b/>
          <w:bCs/>
          <w:sz w:val="40"/>
          <w:szCs w:val="40"/>
        </w:rPr>
        <w:t>1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课《自主选择课余生活》教案设计</w:t>
      </w:r>
    </w:p>
    <w:p w14:paraId="0386A9E5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第二课时  过好我们的课余生活</w:t>
      </w:r>
    </w:p>
    <w:p w14:paraId="65140525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7BC7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</w:tcPr>
          <w:p w14:paraId="55E92313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</w:tcPr>
          <w:p w14:paraId="2F739CB6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自主选择课余生活</w:t>
            </w:r>
          </w:p>
          <w:p w14:paraId="1D2628DC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第二课时</w:t>
            </w:r>
          </w:p>
        </w:tc>
        <w:tc>
          <w:tcPr>
            <w:tcW w:w="850" w:type="dxa"/>
          </w:tcPr>
          <w:p w14:paraId="09C36FD8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</w:tcPr>
          <w:p w14:paraId="7CCE48F1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第一单元</w:t>
            </w:r>
          </w:p>
        </w:tc>
        <w:tc>
          <w:tcPr>
            <w:tcW w:w="850" w:type="dxa"/>
          </w:tcPr>
          <w:p w14:paraId="73916DCD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</w:tcPr>
          <w:p w14:paraId="4E10B375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</w:tcPr>
          <w:p w14:paraId="7C1A1217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</w:tcPr>
          <w:p w14:paraId="7C70DC7D">
            <w:pPr>
              <w:adjustRightInd w:val="0"/>
              <w:spacing w:line="360" w:lineRule="auto"/>
              <w:jc w:val="center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36E3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vAlign w:val="center"/>
          </w:tcPr>
          <w:p w14:paraId="3E140F36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32CF5886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63726EF8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</w:tcPr>
          <w:p w14:paraId="4936179F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政治认同：知道课余生活对自己和社会的价值。</w:t>
            </w:r>
          </w:p>
          <w:p w14:paraId="7A7B2258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道德修养：养成在课余活动中遵守规则和要求的习惯。</w:t>
            </w:r>
          </w:p>
          <w:p w14:paraId="0CF227E1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法治观念：自主选择课余生活时，要注重活动的意义和价值，遵守活动准则。</w:t>
            </w:r>
          </w:p>
          <w:p w14:paraId="786648AC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健全人格：指导学生正确选择课余生活内容，提高对参与课余生活意义的认识。</w:t>
            </w:r>
          </w:p>
          <w:p w14:paraId="1D829A1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责任意识：提升学生参与社会生活的能力，在课余生活中养成与人合作、尊重他人、遵守规则的习惯。</w:t>
            </w:r>
          </w:p>
        </w:tc>
      </w:tr>
      <w:tr w14:paraId="5850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5A54F7DC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</w:tcPr>
          <w:p w14:paraId="0B7D706B">
            <w:pPr>
              <w:widowControl/>
              <w:adjustRightInd w:val="0"/>
              <w:spacing w:line="360" w:lineRule="auto"/>
              <w:jc w:val="left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指导学生正确选择课余生活内容，提高对参与课余生活意义的认识。</w:t>
            </w:r>
          </w:p>
        </w:tc>
      </w:tr>
      <w:tr w14:paraId="0594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</w:tcPr>
          <w:p w14:paraId="35AB4463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</w:tcPr>
          <w:p w14:paraId="4CA4D190">
            <w:pPr>
              <w:adjustRightInd w:val="0"/>
              <w:spacing w:line="360" w:lineRule="auto"/>
              <w:textAlignment w:val="baseline"/>
              <w:rPr>
                <w:rFonts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提升学生参与社会生活的能力，在课余生活中养成与人合作、尊重他人、遵守规则的习惯。</w:t>
            </w:r>
          </w:p>
        </w:tc>
      </w:tr>
    </w:tbl>
    <w:p w14:paraId="231AC86C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407A89AB">
      <w:pPr>
        <w:spacing w:line="360" w:lineRule="auto"/>
        <w:rPr>
          <w:rFonts w:ascii="微软雅黑" w:hAnsi="微软雅黑" w:eastAsia="微软雅黑"/>
          <w:sz w:val="26"/>
          <w:szCs w:val="26"/>
        </w:rPr>
      </w:pPr>
    </w:p>
    <w:p w14:paraId="587523C6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7ED305F8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49C4D0BD">
      <w:pPr>
        <w:pStyle w:val="30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出示图片：如此课余生活。</w:t>
      </w:r>
    </w:p>
    <w:p w14:paraId="25FC29CE">
      <w:pPr>
        <w:pStyle w:val="30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提出问题：我们的课余生活种类繁多，丰富多彩，我们应该怎样安排自己的课余生活呢？</w:t>
      </w:r>
    </w:p>
    <w:p w14:paraId="688712CB">
      <w:pPr>
        <w:pStyle w:val="30"/>
        <w:numPr>
          <w:ilvl w:val="0"/>
          <w:numId w:val="1"/>
        </w:numPr>
        <w:spacing w:line="360" w:lineRule="auto"/>
        <w:ind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教师小结：课余生活中，我们可以选择自己感兴趣的活动。这些活动能够激起求知欲望，磨砺意志，开发潜能，陶冶情操，促进自我发展。</w:t>
      </w:r>
    </w:p>
    <w:p w14:paraId="01E69F62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0C9E4948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（一）根据爱好和兴趣选择课余活动</w:t>
      </w:r>
    </w:p>
    <w:p w14:paraId="2696B806">
      <w:pPr>
        <w:pStyle w:val="30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观察分享：出示四组图片，与同学分享自己的课余生活。</w:t>
      </w:r>
    </w:p>
    <w:p w14:paraId="06BFE30E">
      <w:pPr>
        <w:pStyle w:val="30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观看视频：87.3%受访家长表示周围沉迷于网络游戏小学生</w:t>
      </w:r>
    </w:p>
    <w:p w14:paraId="1EC2DBD8">
      <w:pPr>
        <w:pStyle w:val="30"/>
        <w:numPr>
          <w:ilvl w:val="0"/>
          <w:numId w:val="2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辨析讨论：有同学说，他对电子游戏感兴趣，玩电子游戏就是他的课余生活。你怎么看待这位同学的选择？</w:t>
      </w:r>
    </w:p>
    <w:p w14:paraId="1DD98E60">
      <w:pPr>
        <w:pStyle w:val="30"/>
        <w:numPr>
          <w:ilvl w:val="0"/>
          <w:numId w:val="3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好处：有利于舒缓学习压力，做到劳逸结合；有利于培养社会交往能力，结交更多的朋友；有利于培养反应能力和思维能力；能够帮助学生增长见识、丰富生活；有利于培养领导能力和合作能力</w:t>
      </w:r>
    </w:p>
    <w:p w14:paraId="5B5E5D89">
      <w:pPr>
        <w:pStyle w:val="30"/>
        <w:numPr>
          <w:ilvl w:val="0"/>
          <w:numId w:val="3"/>
        </w:numPr>
        <w:spacing w:line="360" w:lineRule="auto"/>
        <w:ind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坏处：沉迷电子游戏会导致学生荒废学业、成绩下降；沉迷电子游戏会影响视力、损害身心健康；沉迷电子游戏的学生容易躲避社交、脱离现实生活；沉迷电子游戏容易诱导学生犯罪；浪费大量的金钱、时间和精力</w:t>
      </w:r>
    </w:p>
    <w:p w14:paraId="0432F937">
      <w:pPr>
        <w:pStyle w:val="30"/>
        <w:numPr>
          <w:ilvl w:val="0"/>
          <w:numId w:val="3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温馨提示：我们可以偶尔玩电子游戏，但一定要严格控制时间，适可而止。避免沉迷游戏，荒废学业、影响健康</w:t>
      </w:r>
    </w:p>
    <w:p w14:paraId="62A26641">
      <w:pPr>
        <w:pStyle w:val="30"/>
        <w:numPr>
          <w:ilvl w:val="0"/>
          <w:numId w:val="3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说出感悟：从电子游戏利弊的分析中，你能得出怎样的结论，有什么感悟？</w:t>
      </w:r>
    </w:p>
    <w:p w14:paraId="25E3D966">
      <w:pPr>
        <w:pStyle w:val="30"/>
        <w:numPr>
          <w:ilvl w:val="0"/>
          <w:numId w:val="3"/>
        </w:numPr>
        <w:ind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小结：适当地游戏能够帮助我们提高各种能力，但是沉迷游戏就会带来各种各样的危害。因此，我们在玩游戏，尤其是玩电子游戏的过程中，一定要把握好尺度和分寸，严格控制时间，避免沉迷游戏、荒废学业、影响健康。</w:t>
      </w:r>
    </w:p>
    <w:p w14:paraId="1E5B0B06">
      <w:pPr>
        <w:pStyle w:val="30"/>
        <w:numPr>
          <w:ilvl w:val="0"/>
          <w:numId w:val="2"/>
        </w:numPr>
        <w:spacing w:line="360" w:lineRule="auto"/>
        <w:ind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智慧阅读：我给外国人当讲解员。</w:t>
      </w:r>
    </w:p>
    <w:p w14:paraId="280404CE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（二）根据活动的价值和意义选择课余活动</w:t>
      </w:r>
    </w:p>
    <w:p w14:paraId="19BFE2E5">
      <w:pPr>
        <w:pStyle w:val="30"/>
        <w:numPr>
          <w:ilvl w:val="0"/>
          <w:numId w:val="4"/>
        </w:numPr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教师讲解：起初，我们对有的课余生活不一定感兴趣。但是，它有意义、有价值，能带给人关爱、快乐和温暖，能培养我们服务他人、服务社会的意识和能力。</w:t>
      </w:r>
    </w:p>
    <w:p w14:paraId="783818FD">
      <w:pPr>
        <w:pStyle w:val="30"/>
        <w:numPr>
          <w:ilvl w:val="0"/>
          <w:numId w:val="4"/>
        </w:numPr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活动园地：今天，我和同学一起参加了“小学生交通文明岗”的活动。我们既要劝阻不遵守交通规则的人，又要为询问乘车路线的人进行解答。三个小时下来，我们又累又渴。不过，看到人们投来赞许的目光，我们觉得再累也是值得的。</w:t>
      </w:r>
    </w:p>
    <w:p w14:paraId="2F0C689B">
      <w:pPr>
        <w:pStyle w:val="30"/>
        <w:ind w:left="440" w:firstLine="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启发：通过开展有意义、有价值的活动，能培养我们服务他人、服务社会的意识和能力。</w:t>
      </w:r>
    </w:p>
    <w:p w14:paraId="09361625">
      <w:pPr>
        <w:pStyle w:val="30"/>
        <w:numPr>
          <w:ilvl w:val="0"/>
          <w:numId w:val="4"/>
        </w:numPr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思考交流：你参加过类似的活动吗？在参加这些服务他人和社会的活动中，你有哪些收获？</w:t>
      </w:r>
    </w:p>
    <w:p w14:paraId="0A077207">
      <w:pPr>
        <w:pStyle w:val="30"/>
        <w:numPr>
          <w:ilvl w:val="0"/>
          <w:numId w:val="4"/>
        </w:numPr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智慧阅读：社区助读小组</w:t>
      </w:r>
    </w:p>
    <w:p w14:paraId="2D8C2177">
      <w:pPr>
        <w:pStyle w:val="30"/>
        <w:ind w:left="440" w:firstLine="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感受：通过助读活动，能为他人带来关爱、快乐和温暖。培养我们服务他人的良好意识。</w:t>
      </w:r>
    </w:p>
    <w:p w14:paraId="290EE958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（三）根据时间来考虑课余活动</w:t>
      </w:r>
    </w:p>
    <w:p w14:paraId="43533103">
      <w:pPr>
        <w:pStyle w:val="30"/>
        <w:numPr>
          <w:ilvl w:val="0"/>
          <w:numId w:val="5"/>
        </w:numPr>
        <w:spacing w:line="360" w:lineRule="auto"/>
        <w:ind w:firstLineChars="0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教师讲解：合理规划课余生活，要做到个体活动与集体活动结合、室内活动和室外活动互补，处理好课内学习和课余生活的关系。为了达到预期目标，我们可以制定详细的计划，还可以请长辈监督</w:t>
      </w:r>
    </w:p>
    <w:p w14:paraId="0CC96CC3">
      <w:pPr>
        <w:pStyle w:val="30"/>
        <w:numPr>
          <w:ilvl w:val="0"/>
          <w:numId w:val="5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时间安排：小雨的计划和小刚的计划</w:t>
      </w:r>
    </w:p>
    <w:p w14:paraId="0F0AD113">
      <w:pPr>
        <w:pStyle w:val="30"/>
        <w:numPr>
          <w:ilvl w:val="0"/>
          <w:numId w:val="5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智慧阅读：安排时间要考虑的因素。</w:t>
      </w:r>
    </w:p>
    <w:p w14:paraId="53FD13DE">
      <w:pPr>
        <w:pStyle w:val="30"/>
        <w:numPr>
          <w:ilvl w:val="0"/>
          <w:numId w:val="5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温馨提示：学会制定计划；要分清主次；当日事当日毕；请父母监督。</w:t>
      </w:r>
    </w:p>
    <w:p w14:paraId="4EB1B66A"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集思广益：请同学们分享下自己对于课余时间的安排。</w:t>
      </w:r>
    </w:p>
    <w:p w14:paraId="43B74684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（四）遵守课余生活行为规范</w:t>
      </w:r>
    </w:p>
    <w:p w14:paraId="0540D967">
      <w:pPr>
        <w:pStyle w:val="30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教师讲解：课余生活中，我们的言谈举止应该符合小学生的行为规范。注意文明礼貌，尊重他人，遵守活动规则，这些都是基本要求。</w:t>
      </w:r>
    </w:p>
    <w:p w14:paraId="72E281FC">
      <w:pPr>
        <w:pStyle w:val="30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出示图片</w:t>
      </w:r>
    </w:p>
    <w:p w14:paraId="682EC86C">
      <w:pPr>
        <w:pStyle w:val="30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园地活动：同学们，我们不仅要合理规划课余生活，在课余生活中还要留意一些注意事项。 请结合下面图片，为我们的课余生活做一个温馨提示。</w:t>
      </w:r>
    </w:p>
    <w:p w14:paraId="0C066949">
      <w:pPr>
        <w:pStyle w:val="30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文明卡片：你能给大家一些温馨小提示吗？</w:t>
      </w:r>
    </w:p>
    <w:p w14:paraId="47C75F6D">
      <w:pPr>
        <w:pStyle w:val="30"/>
        <w:numPr>
          <w:ilvl w:val="0"/>
          <w:numId w:val="6"/>
        </w:numPr>
        <w:spacing w:line="360" w:lineRule="auto"/>
        <w:ind w:firstLineChars="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课余计划：我的课余生活计划书</w:t>
      </w:r>
    </w:p>
    <w:p w14:paraId="0D8A01D0">
      <w:pPr>
        <w:pStyle w:val="30"/>
        <w:spacing w:line="360" w:lineRule="auto"/>
        <w:ind w:left="840" w:firstLine="0" w:firstLineChars="0"/>
        <w:rPr>
          <w:rFonts w:hint="eastAsia" w:ascii="微软雅黑" w:hAnsi="微软雅黑" w:eastAsia="微软雅黑"/>
          <w:sz w:val="26"/>
          <w:szCs w:val="26"/>
        </w:rPr>
      </w:pPr>
    </w:p>
    <w:p w14:paraId="50F22CD8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三、课堂总结</w:t>
      </w:r>
    </w:p>
    <w:p w14:paraId="2F5F2E83">
      <w:pPr>
        <w:spacing w:line="360" w:lineRule="auto"/>
        <w:ind w:left="420" w:firstLine="420"/>
        <w:rPr>
          <w:rFonts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总之，当我们自主选择课余生活时，既要注重个人的兴趣和爱好，又要注重活动的意义和价值，让课余生活促进我们健康成长</w:t>
      </w:r>
      <w:r>
        <w:rPr>
          <w:rFonts w:ascii="微软雅黑" w:hAnsi="微软雅黑" w:eastAsia="微软雅黑"/>
          <w:sz w:val="26"/>
          <w:szCs w:val="26"/>
        </w:rPr>
        <w:tab/>
      </w:r>
    </w:p>
    <w:p w14:paraId="652A6C10">
      <w:pPr>
        <w:spacing w:line="360" w:lineRule="auto"/>
        <w:ind w:left="420" w:firstLine="42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学生的课余生活并不只是学习，学习也并不只是读教科收，做习题，我们应积极培养自己的兴趣爱好，把学习、娱乐、休息、锻炼等方面有机地结合起来，合理地安排好自己的课余生活。</w:t>
      </w:r>
    </w:p>
    <w:p w14:paraId="1AE96370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3951E2AF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四、课后拓展</w:t>
      </w:r>
    </w:p>
    <w:p w14:paraId="6753B7C3">
      <w:pPr>
        <w:spacing w:line="360" w:lineRule="auto"/>
        <w:ind w:left="420" w:firstLine="420"/>
        <w:rPr>
          <w:rFonts w:hint="eastAsia"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sz w:val="26"/>
          <w:szCs w:val="26"/>
        </w:rPr>
        <w:t>请你根据学习到的方法，认真思考和设计，制订一个课余生活计划，度过一个既快乐又有意义的周末吧！</w:t>
      </w: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8C20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14A6">
    <w:pPr>
      <w:pStyle w:val="5"/>
    </w:pPr>
    <w:r>
      <w:pict>
        <v:shape id="PowerPlusWaterMarkObject11533997" o:spid="_x0000_s3075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9CBB2">
    <w:pPr>
      <w:pStyle w:val="5"/>
    </w:pPr>
    <w:r>
      <w:pict>
        <v:shape id="PowerPlusWaterMarkObject11533996" o:spid="_x0000_s3073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728A6"/>
    <w:multiLevelType w:val="multilevel"/>
    <w:tmpl w:val="30F728A6"/>
    <w:lvl w:ilvl="0" w:tentative="0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1">
    <w:nsid w:val="3B20039D"/>
    <w:multiLevelType w:val="multilevel"/>
    <w:tmpl w:val="3B20039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3817B04"/>
    <w:multiLevelType w:val="multilevel"/>
    <w:tmpl w:val="43817B04"/>
    <w:lvl w:ilvl="0" w:tentative="0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C023F39"/>
    <w:multiLevelType w:val="multilevel"/>
    <w:tmpl w:val="4C023F3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F8C020D"/>
    <w:multiLevelType w:val="multilevel"/>
    <w:tmpl w:val="4F8C020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25455E1"/>
    <w:multiLevelType w:val="multilevel"/>
    <w:tmpl w:val="725455E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95F5C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D3B76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A6DCC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6E46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943AC"/>
    <w:rsid w:val="00AD1F39"/>
    <w:rsid w:val="00AF34B7"/>
    <w:rsid w:val="00B018EF"/>
    <w:rsid w:val="00B17F14"/>
    <w:rsid w:val="00B44EE5"/>
    <w:rsid w:val="00B56279"/>
    <w:rsid w:val="00BA2781"/>
    <w:rsid w:val="00BF364E"/>
    <w:rsid w:val="00C056B7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B5381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5A359C0"/>
    <w:rsid w:val="09754156"/>
    <w:rsid w:val="1292021F"/>
    <w:rsid w:val="139C147B"/>
    <w:rsid w:val="13DF0040"/>
    <w:rsid w:val="14EF3AD1"/>
    <w:rsid w:val="17E666CF"/>
    <w:rsid w:val="18F325D1"/>
    <w:rsid w:val="1A2679B1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2E2EF8"/>
    <w:rsid w:val="3A445B32"/>
    <w:rsid w:val="3B1809C4"/>
    <w:rsid w:val="3D9E0D97"/>
    <w:rsid w:val="40A57674"/>
    <w:rsid w:val="40C829B2"/>
    <w:rsid w:val="40F02370"/>
    <w:rsid w:val="41C07D44"/>
    <w:rsid w:val="47C65622"/>
    <w:rsid w:val="4C04643A"/>
    <w:rsid w:val="4C8D5872"/>
    <w:rsid w:val="4DE968A1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658E1F0C"/>
    <w:rsid w:val="65CC109B"/>
    <w:rsid w:val="66BA07DD"/>
    <w:rsid w:val="67284585"/>
    <w:rsid w:val="68F41ADA"/>
    <w:rsid w:val="69C3108F"/>
    <w:rsid w:val="6CD33C34"/>
    <w:rsid w:val="6DEE206E"/>
    <w:rsid w:val="71FF1D3E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字符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1794</Words>
  <Characters>1798</Characters>
  <Lines>13</Lines>
  <Paragraphs>3</Paragraphs>
  <TotalTime>1</TotalTime>
  <ScaleCrop>false</ScaleCrop>
  <LinksUpToDate>false</LinksUpToDate>
  <CharactersWithSpaces>1802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2023-07-07T09:52:00Z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2024-08-25T11:23:56Z</dcterms:modified>
  <dc:title>21世纪教育网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