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31AD2">
      <w:pPr>
        <w:jc w:val="center"/>
        <w:textAlignment w:val="center"/>
        <w:rPr>
          <w:rFonts w:hint="eastAsia" w:ascii="宋体" w:hAnsi="宋体" w:cs="宋体"/>
          <w:b/>
          <w:sz w:val="30"/>
          <w:lang w:val="en-US" w:eastAsia="zh-CN"/>
        </w:rPr>
      </w:pPr>
      <w:r>
        <w:rPr>
          <w:rFonts w:ascii="宋体" w:hAnsi="宋体" w:cs="宋体"/>
          <w:b/>
          <w:sz w:val="30"/>
        </w:rPr>
        <w:drawing>
          <wp:anchor distT="0" distB="0" distL="114300" distR="114300" simplePos="0" relativeHeight="251659264" behindDoc="0" locked="0" layoutInCell="1" allowOverlap="1">
            <wp:simplePos x="0" y="0"/>
            <wp:positionH relativeFrom="page">
              <wp:posOffset>11468100</wp:posOffset>
            </wp:positionH>
            <wp:positionV relativeFrom="topMargin">
              <wp:posOffset>11480800</wp:posOffset>
            </wp:positionV>
            <wp:extent cx="368300" cy="431800"/>
            <wp:effectExtent l="0" t="0" r="12700" b="1016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10"/>
                    <a:stretch>
                      <a:fillRect/>
                    </a:stretch>
                  </pic:blipFill>
                  <pic:spPr>
                    <a:xfrm>
                      <a:off x="0" y="0"/>
                      <a:ext cx="368300" cy="431800"/>
                    </a:xfrm>
                    <a:prstGeom prst="rect">
                      <a:avLst/>
                    </a:prstGeom>
                  </pic:spPr>
                </pic:pic>
              </a:graphicData>
            </a:graphic>
          </wp:anchor>
        </w:drawing>
      </w:r>
      <w:r>
        <w:drawing>
          <wp:inline distT="0" distB="0" distL="0" distR="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1"/>
                    <a:stretch>
                      <a:fillRect/>
                    </a:stretch>
                  </pic:blipFill>
                  <pic:spPr>
                    <a:xfrm>
                      <a:off x="0" y="0"/>
                      <a:ext cx="12700" cy="12700"/>
                    </a:xfrm>
                    <a:prstGeom prst="rect">
                      <a:avLst/>
                    </a:prstGeom>
                  </pic:spPr>
                </pic:pic>
              </a:graphicData>
            </a:graphic>
          </wp:inline>
        </w:drawing>
      </w:r>
      <w:r>
        <w:rPr>
          <w:rFonts w:ascii="宋体" w:hAnsi="宋体" w:cs="宋体"/>
          <w:b/>
          <w:sz w:val="30"/>
        </w:rPr>
        <w:t>教师</w:t>
      </w:r>
      <w:r>
        <w:rPr>
          <w:rFonts w:hint="eastAsia" w:ascii="宋体" w:hAnsi="宋体" w:cs="宋体"/>
          <w:b/>
          <w:sz w:val="30"/>
          <w:lang w:val="en-US" w:eastAsia="zh-CN"/>
        </w:rPr>
        <w:t>业务测试试卷</w:t>
      </w:r>
    </w:p>
    <w:p w14:paraId="3FE56BF1">
      <w:pPr>
        <w:jc w:val="center"/>
        <w:textAlignment w:val="center"/>
        <w:rPr>
          <w:rFonts w:hint="default" w:ascii="宋体" w:hAnsi="宋体" w:cs="宋体"/>
          <w:b/>
          <w:sz w:val="30"/>
          <w:lang w:val="en-US" w:eastAsia="zh-CN"/>
        </w:rPr>
      </w:pPr>
      <w:r>
        <w:rPr>
          <w:rFonts w:hint="eastAsia" w:ascii="宋体" w:hAnsi="宋体" w:cs="宋体"/>
          <w:b/>
          <w:sz w:val="30"/>
          <w:lang w:val="en-US" w:eastAsia="zh-CN"/>
        </w:rPr>
        <w:t>高中</w:t>
      </w:r>
      <w:bookmarkStart w:id="0" w:name="_GoBack"/>
      <w:bookmarkEnd w:id="0"/>
      <w:r>
        <w:rPr>
          <w:rFonts w:hint="eastAsia" w:ascii="宋体" w:hAnsi="宋体" w:cs="宋体"/>
          <w:b/>
          <w:sz w:val="30"/>
          <w:lang w:val="en-US" w:eastAsia="zh-CN"/>
        </w:rPr>
        <w:t>地理</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1"/>
      </w:tblGrid>
      <w:tr w14:paraId="66E6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nil"/>
              <w:bottom w:val="nil"/>
              <w:right w:val="nil"/>
            </w:tcBorders>
            <w:vAlign w:val="center"/>
          </w:tcPr>
          <w:p w14:paraId="07DA9080">
            <w:pPr>
              <w:pBdr>
                <w:top w:val="none" w:color="auto" w:sz="0" w:space="0"/>
                <w:left w:val="none" w:color="auto" w:sz="0" w:space="0"/>
                <w:bottom w:val="none" w:color="auto" w:sz="0" w:space="0"/>
                <w:right w:val="none" w:color="auto" w:sz="0" w:space="0"/>
                <w:between w:val="none" w:color="auto" w:sz="0" w:space="0"/>
              </w:pBdr>
              <w:jc w:val="left"/>
              <w:textAlignment w:val="center"/>
              <w:rPr>
                <w:b/>
              </w:rPr>
            </w:pPr>
            <w:r>
              <w:rPr>
                <w:b/>
              </w:rPr>
              <w:t>一、选择题组</w:t>
            </w:r>
          </w:p>
        </w:tc>
      </w:tr>
    </w:tbl>
    <w:p w14:paraId="25D08FBF">
      <w:pPr>
        <w:shd w:val="clear" w:color="auto" w:fill="FFFFFF"/>
        <w:spacing w:line="360" w:lineRule="auto"/>
        <w:ind w:firstLine="420"/>
        <w:jc w:val="left"/>
        <w:textAlignment w:val="center"/>
      </w:pPr>
      <w:r>
        <w:rPr>
          <w:rFonts w:ascii="楷体" w:hAnsi="楷体" w:eastAsia="楷体" w:cs="楷体"/>
        </w:rPr>
        <w:t>安图县坐落于吉林省东南部，位于长白山北麓，生态环境优良，主要生产水稻、玉米等粮食作物和药材、葵花籽等经济作物。但近年来，安图县弃耕撂荒现象较为严重。据此完成下面小题。</w:t>
      </w:r>
    </w:p>
    <w:p w14:paraId="4D27645C">
      <w:pPr>
        <w:shd w:val="clear" w:color="auto" w:fill="FFFFFF"/>
        <w:spacing w:line="360" w:lineRule="auto"/>
        <w:jc w:val="left"/>
        <w:textAlignment w:val="center"/>
      </w:pPr>
      <w:r>
        <w:t>1．安图县弃耕撂荒的主要原因是（</w:t>
      </w:r>
      <w:r>
        <w:rPr>
          <w:rFonts w:eastAsia="Times New Roman"/>
          <w:kern w:val="0"/>
          <w:sz w:val="24"/>
          <w:szCs w:val="24"/>
        </w:rPr>
        <w:t>   </w:t>
      </w:r>
      <w:r>
        <w:t>）</w:t>
      </w:r>
    </w:p>
    <w:p w14:paraId="7B41EC51">
      <w:pPr>
        <w:shd w:val="clear" w:color="auto" w:fill="FFFFFF"/>
        <w:tabs>
          <w:tab w:val="left" w:pos="2078"/>
          <w:tab w:val="left" w:pos="4156"/>
          <w:tab w:val="left" w:pos="6234"/>
        </w:tabs>
        <w:spacing w:line="360" w:lineRule="auto"/>
        <w:ind w:left="300"/>
        <w:jc w:val="left"/>
        <w:textAlignment w:val="center"/>
      </w:pPr>
      <w:r>
        <w:t>A．旱涝灾害频繁</w:t>
      </w:r>
      <w:r>
        <w:tab/>
      </w:r>
      <w:r>
        <w:t>B．耕地质量下降</w:t>
      </w:r>
      <w:r>
        <w:tab/>
      </w:r>
      <w:r>
        <w:t>C．农村劳动力流失</w:t>
      </w:r>
      <w:r>
        <w:tab/>
      </w:r>
      <w:r>
        <w:t>D．保护生态需要</w:t>
      </w:r>
    </w:p>
    <w:p w14:paraId="2B13E9E5">
      <w:pPr>
        <w:shd w:val="clear" w:color="auto" w:fill="FFFFFF"/>
        <w:spacing w:line="360" w:lineRule="auto"/>
        <w:jc w:val="left"/>
        <w:textAlignment w:val="center"/>
      </w:pPr>
      <w:r>
        <w:t>2．下列措施有利于改善安图县弃耕撂荒现象的是（</w:t>
      </w:r>
      <w:r>
        <w:rPr>
          <w:rFonts w:eastAsia="Times New Roman"/>
          <w:kern w:val="0"/>
          <w:sz w:val="24"/>
          <w:szCs w:val="24"/>
        </w:rPr>
        <w:t>   </w:t>
      </w:r>
      <w:r>
        <w:t>）</w:t>
      </w:r>
    </w:p>
    <w:p w14:paraId="5656AA4E">
      <w:pPr>
        <w:shd w:val="clear" w:color="auto" w:fill="FFFFFF"/>
        <w:tabs>
          <w:tab w:val="left" w:pos="2078"/>
          <w:tab w:val="left" w:pos="4156"/>
          <w:tab w:val="left" w:pos="6234"/>
        </w:tabs>
        <w:spacing w:line="360" w:lineRule="auto"/>
        <w:ind w:left="300"/>
        <w:jc w:val="left"/>
        <w:textAlignment w:val="center"/>
      </w:pPr>
      <w:r>
        <w:t>A．限制耕地流转</w:t>
      </w:r>
      <w:r>
        <w:tab/>
      </w:r>
      <w:r>
        <w:t>B．消除城乡收入差距</w:t>
      </w:r>
      <w:r>
        <w:tab/>
      </w:r>
      <w:r>
        <w:t>C．推动城镇化进程</w:t>
      </w:r>
      <w:r>
        <w:tab/>
      </w:r>
      <w:r>
        <w:t>D．完善种植补贴制度</w:t>
      </w:r>
    </w:p>
    <w:p w14:paraId="55D04D86">
      <w:pPr>
        <w:shd w:val="clear" w:color="auto" w:fill="FFFFFF"/>
        <w:spacing w:line="360" w:lineRule="auto"/>
        <w:ind w:firstLine="420"/>
        <w:jc w:val="left"/>
        <w:textAlignment w:val="center"/>
      </w:pPr>
      <w:r>
        <w:rPr>
          <w:rFonts w:ascii="楷体" w:hAnsi="楷体" w:eastAsia="楷体" w:cs="楷体"/>
        </w:rPr>
        <w:t>山谷风包括沿山谷走向的上谷风、下谷风和垂直于山谷走向的上坡风、下坡风。2022年2月北京冬奥会冬季两项（越野滑雪和射击）比赛在河北省张家口市举行，赛场位于该市古杨树村的山谷中，比赛多选择在17时开始。图左示意1-3月该山谷上、下谷风的风向日变化，图右示意该山谷上、下谷风及实测风的风速日变化。据此完成下面小题。</w:t>
      </w:r>
    </w:p>
    <w:p w14:paraId="333AE9B1">
      <w:pPr>
        <w:shd w:val="clear" w:color="auto" w:fill="FFFFFF"/>
        <w:spacing w:line="360" w:lineRule="auto"/>
        <w:jc w:val="left"/>
        <w:textAlignment w:val="center"/>
      </w:pPr>
      <w:r>
        <w:rPr>
          <w:rFonts w:eastAsia="Times New Roman"/>
          <w:kern w:val="0"/>
          <w:sz w:val="24"/>
          <w:szCs w:val="24"/>
        </w:rPr>
        <w:drawing>
          <wp:inline distT="0" distB="0" distL="0" distR="0">
            <wp:extent cx="2990850" cy="2390775"/>
            <wp:effectExtent l="0" t="0" r="0" b="0"/>
            <wp:docPr id="100003" name="图片 100003" descr="@@@24456a72-47eb-4aec-88d5-5e2689ba5f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24456a72-47eb-4aec-88d5-5e2689ba5f96"/>
                    <pic:cNvPicPr>
                      <a:picLocks noChangeAspect="1"/>
                    </pic:cNvPicPr>
                  </pic:nvPicPr>
                  <pic:blipFill>
                    <a:blip r:embed="rId12"/>
                    <a:stretch>
                      <a:fillRect/>
                    </a:stretch>
                  </pic:blipFill>
                  <pic:spPr>
                    <a:xfrm>
                      <a:off x="0" y="0"/>
                      <a:ext cx="2990850" cy="2390775"/>
                    </a:xfrm>
                    <a:prstGeom prst="rect">
                      <a:avLst/>
                    </a:prstGeom>
                  </pic:spPr>
                </pic:pic>
              </a:graphicData>
            </a:graphic>
          </wp:inline>
        </w:drawing>
      </w:r>
      <w:r>
        <w:rPr>
          <w:rFonts w:eastAsia="Times New Roman"/>
          <w:kern w:val="0"/>
          <w:sz w:val="24"/>
          <w:szCs w:val="24"/>
        </w:rPr>
        <w:drawing>
          <wp:inline distT="0" distB="0" distL="0" distR="0">
            <wp:extent cx="3381375" cy="2314575"/>
            <wp:effectExtent l="0" t="0" r="0" b="0"/>
            <wp:docPr id="100005" name="图片 100005" descr="@@@750d7b17-ac02-475b-83b3-c4cdeeab2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50d7b17-ac02-475b-83b3-c4cdeeab2b87"/>
                    <pic:cNvPicPr>
                      <a:picLocks noChangeAspect="1"/>
                    </pic:cNvPicPr>
                  </pic:nvPicPr>
                  <pic:blipFill>
                    <a:blip r:embed="rId13"/>
                    <a:stretch>
                      <a:fillRect/>
                    </a:stretch>
                  </pic:blipFill>
                  <pic:spPr>
                    <a:xfrm>
                      <a:off x="0" y="0"/>
                      <a:ext cx="3381375" cy="2314575"/>
                    </a:xfrm>
                    <a:prstGeom prst="rect">
                      <a:avLst/>
                    </a:prstGeom>
                  </pic:spPr>
                </pic:pic>
              </a:graphicData>
            </a:graphic>
          </wp:inline>
        </w:drawing>
      </w:r>
    </w:p>
    <w:p w14:paraId="7624073C">
      <w:pPr>
        <w:shd w:val="clear" w:color="auto" w:fill="FFFFFF"/>
        <w:spacing w:line="360" w:lineRule="auto"/>
        <w:jc w:val="left"/>
        <w:textAlignment w:val="center"/>
      </w:pPr>
      <w:r>
        <w:t>3．该山谷的大致走向及地形特征是（</w:t>
      </w:r>
      <w:r>
        <w:rPr>
          <w:rFonts w:eastAsia="Times New Roman"/>
          <w:kern w:val="0"/>
          <w:sz w:val="24"/>
          <w:szCs w:val="24"/>
        </w:rPr>
        <w:t>   </w:t>
      </w:r>
      <w:r>
        <w:t>）</w:t>
      </w:r>
    </w:p>
    <w:p w14:paraId="5F368421">
      <w:pPr>
        <w:shd w:val="clear" w:color="auto" w:fill="FFFFFF"/>
        <w:tabs>
          <w:tab w:val="left" w:pos="4156"/>
        </w:tabs>
        <w:spacing w:line="360" w:lineRule="auto"/>
        <w:ind w:left="300"/>
        <w:jc w:val="left"/>
        <w:textAlignment w:val="center"/>
      </w:pPr>
      <w:r>
        <w:t>A．东西走向，西高东低</w:t>
      </w:r>
      <w:r>
        <w:tab/>
      </w:r>
      <w:r>
        <w:t>B．东西走向，东高西低</w:t>
      </w:r>
    </w:p>
    <w:p w14:paraId="4977BF3A">
      <w:pPr>
        <w:shd w:val="clear" w:color="auto" w:fill="FFFFFF"/>
        <w:tabs>
          <w:tab w:val="left" w:pos="4156"/>
        </w:tabs>
        <w:spacing w:line="360" w:lineRule="auto"/>
        <w:ind w:left="300"/>
        <w:jc w:val="left"/>
        <w:textAlignment w:val="center"/>
      </w:pPr>
      <w:r>
        <w:t>C．南北走向，南高北低</w:t>
      </w:r>
      <w:r>
        <w:tab/>
      </w:r>
      <w:r>
        <w:t>D．南北走向，北高南低</w:t>
      </w:r>
    </w:p>
    <w:p w14:paraId="11EFFABA">
      <w:pPr>
        <w:shd w:val="clear" w:color="auto" w:fill="FFFFFF"/>
        <w:spacing w:line="360" w:lineRule="auto"/>
        <w:jc w:val="left"/>
        <w:textAlignment w:val="center"/>
      </w:pPr>
      <w:r>
        <w:t>4．据图推测与该山谷背景风风向一致的是（</w:t>
      </w:r>
      <w:r>
        <w:rPr>
          <w:rFonts w:eastAsia="Times New Roman"/>
          <w:kern w:val="0"/>
          <w:sz w:val="24"/>
          <w:szCs w:val="24"/>
        </w:rPr>
        <w:t>   </w:t>
      </w:r>
      <w:r>
        <w:t>）</w:t>
      </w:r>
    </w:p>
    <w:p w14:paraId="3E725F34">
      <w:pPr>
        <w:shd w:val="clear" w:color="auto" w:fill="FFFFFF"/>
        <w:tabs>
          <w:tab w:val="left" w:pos="2078"/>
          <w:tab w:val="left" w:pos="4156"/>
          <w:tab w:val="left" w:pos="6234"/>
        </w:tabs>
        <w:spacing w:line="360" w:lineRule="auto"/>
        <w:ind w:left="300"/>
        <w:jc w:val="left"/>
        <w:textAlignment w:val="center"/>
      </w:pPr>
      <w:r>
        <w:t>A．上谷风</w:t>
      </w:r>
      <w:r>
        <w:tab/>
      </w:r>
      <w:r>
        <w:t>B．下谷风</w:t>
      </w:r>
      <w:r>
        <w:tab/>
      </w:r>
      <w:r>
        <w:t>C．上坡风</w:t>
      </w:r>
      <w:r>
        <w:tab/>
      </w:r>
      <w:r>
        <w:t>D．下坡风</w:t>
      </w:r>
    </w:p>
    <w:p w14:paraId="44BB191E">
      <w:pPr>
        <w:shd w:val="clear" w:color="auto" w:fill="FFFFFF"/>
        <w:spacing w:line="360" w:lineRule="auto"/>
        <w:jc w:val="left"/>
        <w:textAlignment w:val="center"/>
      </w:pPr>
      <w:r>
        <w:t>5．北京冬奥会冬季两项比赛多选择在17时开始，主要原因是（</w:t>
      </w:r>
      <w:r>
        <w:rPr>
          <w:rFonts w:eastAsia="Times New Roman"/>
          <w:kern w:val="0"/>
          <w:sz w:val="24"/>
          <w:szCs w:val="24"/>
        </w:rPr>
        <w:t>   </w:t>
      </w:r>
      <w:r>
        <w:t>）</w:t>
      </w:r>
    </w:p>
    <w:p w14:paraId="58BF7BD3">
      <w:pPr>
        <w:shd w:val="clear" w:color="auto" w:fill="FFFFFF"/>
        <w:spacing w:line="360" w:lineRule="auto"/>
        <w:jc w:val="left"/>
        <w:textAlignment w:val="center"/>
      </w:pPr>
      <w:r>
        <w:t>①风速对比赛干扰较小②国内直播收视率较高③赛道雪面不容易融化④现场观看比赛视线好</w:t>
      </w:r>
    </w:p>
    <w:p w14:paraId="64DF02B6">
      <w:pPr>
        <w:shd w:val="clear" w:color="auto" w:fill="FFFFFF"/>
        <w:tabs>
          <w:tab w:val="left" w:pos="2078"/>
          <w:tab w:val="left" w:pos="4156"/>
          <w:tab w:val="left" w:pos="6234"/>
        </w:tabs>
        <w:spacing w:line="360" w:lineRule="auto"/>
        <w:ind w:left="300"/>
        <w:jc w:val="left"/>
        <w:textAlignment w:val="center"/>
      </w:pPr>
      <w:r>
        <w:t>A．①②</w:t>
      </w:r>
      <w:r>
        <w:tab/>
      </w:r>
      <w:r>
        <w:t>B．②③</w:t>
      </w:r>
      <w:r>
        <w:tab/>
      </w:r>
      <w:r>
        <w:t>C．①④</w:t>
      </w:r>
      <w:r>
        <w:tab/>
      </w:r>
      <w:r>
        <w:t>D．③④</w:t>
      </w:r>
    </w:p>
    <w:p w14:paraId="5A77EE69">
      <w:pPr>
        <w:shd w:val="clear" w:color="auto" w:fill="FFFFFF"/>
        <w:spacing w:line="360" w:lineRule="auto"/>
        <w:ind w:firstLine="420"/>
        <w:jc w:val="left"/>
        <w:textAlignment w:val="center"/>
      </w:pPr>
      <w:r>
        <w:rPr>
          <w:rFonts w:ascii="楷体" w:hAnsi="楷体" w:eastAsia="楷体" w:cs="楷体"/>
        </w:rPr>
        <w:t>数字经济是以互联网、云计算、人工智能等数字技术为载体的经济活动，分为服务型和制造型。近年来，长江经济带数字产业企业分布中心整体靠东且不断西移，但制造型数字产业企业一直集中分布在长三角地区。据此完成下面小题。</w:t>
      </w:r>
    </w:p>
    <w:p w14:paraId="46021A5F">
      <w:pPr>
        <w:shd w:val="clear" w:color="auto" w:fill="FFFFFF"/>
        <w:spacing w:line="360" w:lineRule="auto"/>
        <w:jc w:val="left"/>
        <w:textAlignment w:val="center"/>
      </w:pPr>
      <w:r>
        <w:t>6．长江经济带数字产业企业分布中心西移的原因不包括（</w:t>
      </w:r>
      <w:r>
        <w:rPr>
          <w:rFonts w:eastAsia="Times New Roman"/>
          <w:kern w:val="0"/>
          <w:sz w:val="24"/>
          <w:szCs w:val="24"/>
        </w:rPr>
        <w:t>   </w:t>
      </w:r>
      <w:r>
        <w:t>）</w:t>
      </w:r>
    </w:p>
    <w:p w14:paraId="59BA7B63">
      <w:pPr>
        <w:shd w:val="clear" w:color="auto" w:fill="FFFFFF"/>
        <w:tabs>
          <w:tab w:val="left" w:pos="4156"/>
        </w:tabs>
        <w:spacing w:line="360" w:lineRule="auto"/>
        <w:ind w:left="300"/>
        <w:jc w:val="left"/>
        <w:textAlignment w:val="center"/>
      </w:pPr>
      <w:r>
        <w:t>A．中上游政策支持力度大</w:t>
      </w:r>
      <w:r>
        <w:tab/>
      </w:r>
      <w:r>
        <w:t>B．中上游市场需求潜力大</w:t>
      </w:r>
    </w:p>
    <w:p w14:paraId="621C6CBD">
      <w:pPr>
        <w:shd w:val="clear" w:color="auto" w:fill="FFFFFF"/>
        <w:tabs>
          <w:tab w:val="left" w:pos="4156"/>
        </w:tabs>
        <w:spacing w:line="360" w:lineRule="auto"/>
        <w:ind w:left="300"/>
        <w:jc w:val="left"/>
        <w:textAlignment w:val="center"/>
      </w:pPr>
      <w:r>
        <w:t>C．下游区位条件相对较差</w:t>
      </w:r>
      <w:r>
        <w:tab/>
      </w:r>
      <w:r>
        <w:t>D．下游企业数量增长较慢</w:t>
      </w:r>
    </w:p>
    <w:p w14:paraId="77847E73">
      <w:pPr>
        <w:shd w:val="clear" w:color="auto" w:fill="FFFFFF"/>
        <w:spacing w:line="360" w:lineRule="auto"/>
        <w:jc w:val="left"/>
        <w:textAlignment w:val="center"/>
      </w:pPr>
      <w:r>
        <w:t>7．影响制造型数字产业企业一直集中分布在长三角地区的关键因素是（</w:t>
      </w:r>
      <w:r>
        <w:rPr>
          <w:rFonts w:eastAsia="Times New Roman"/>
          <w:kern w:val="0"/>
          <w:sz w:val="24"/>
          <w:szCs w:val="24"/>
        </w:rPr>
        <w:t>   </w:t>
      </w:r>
      <w:r>
        <w:t>）</w:t>
      </w:r>
    </w:p>
    <w:p w14:paraId="1C084B6A">
      <w:pPr>
        <w:shd w:val="clear" w:color="auto" w:fill="FFFFFF"/>
        <w:tabs>
          <w:tab w:val="left" w:pos="2078"/>
          <w:tab w:val="left" w:pos="4156"/>
          <w:tab w:val="left" w:pos="6234"/>
        </w:tabs>
        <w:spacing w:line="360" w:lineRule="auto"/>
        <w:ind w:left="300"/>
        <w:jc w:val="left"/>
        <w:textAlignment w:val="center"/>
      </w:pPr>
      <w:r>
        <w:t>A．国家政策</w:t>
      </w:r>
      <w:r>
        <w:tab/>
      </w:r>
      <w:r>
        <w:t>B．产业基础</w:t>
      </w:r>
      <w:r>
        <w:tab/>
      </w:r>
      <w:r>
        <w:t>C．市场规模</w:t>
      </w:r>
      <w:r>
        <w:tab/>
      </w:r>
      <w:r>
        <w:t>D．海陆交通</w:t>
      </w:r>
    </w:p>
    <w:p w14:paraId="0541F163">
      <w:pPr>
        <w:shd w:val="clear" w:color="auto" w:fill="FFFFFF"/>
        <w:spacing w:line="360" w:lineRule="auto"/>
        <w:ind w:firstLine="420"/>
        <w:jc w:val="left"/>
        <w:textAlignment w:val="center"/>
      </w:pPr>
      <w:r>
        <w:rPr>
          <w:rFonts w:ascii="楷体" w:hAnsi="楷体" w:eastAsia="楷体" w:cs="楷体"/>
        </w:rPr>
        <w:t>威德尔海（见下图）位于大西洋最南端，深入南极大陆海岸，经常被厚冰覆盖，受南极附近复杂的洋流环境影响，形成了威德尔环流。研究发现，威德尔海大陆架上，尤其是其南部大陆架上，第四纪（距今258万年至今）沉积物质丰富。据此完成下面小题。</w:t>
      </w:r>
    </w:p>
    <w:p w14:paraId="4DD60834">
      <w:pPr>
        <w:shd w:val="clear" w:color="auto" w:fill="FFFFFF"/>
        <w:spacing w:line="360" w:lineRule="auto"/>
        <w:jc w:val="left"/>
        <w:textAlignment w:val="center"/>
      </w:pPr>
      <w:r>
        <w:rPr>
          <w:rFonts w:eastAsia="Times New Roman"/>
          <w:kern w:val="0"/>
          <w:sz w:val="24"/>
          <w:szCs w:val="24"/>
        </w:rPr>
        <w:drawing>
          <wp:inline distT="0" distB="0" distL="0" distR="0">
            <wp:extent cx="2381250" cy="2019300"/>
            <wp:effectExtent l="0" t="0" r="0" b="0"/>
            <wp:docPr id="100007" name="图片 100007" descr="@@@98145635-b4c1-4a31-90d9-cb907dd623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8145635-b4c1-4a31-90d9-cb907dd6239c"/>
                    <pic:cNvPicPr>
                      <a:picLocks noChangeAspect="1"/>
                    </pic:cNvPicPr>
                  </pic:nvPicPr>
                  <pic:blipFill>
                    <a:blip r:embed="rId14"/>
                    <a:stretch>
                      <a:fillRect/>
                    </a:stretch>
                  </pic:blipFill>
                  <pic:spPr>
                    <a:xfrm>
                      <a:off x="0" y="0"/>
                      <a:ext cx="2381250" cy="2019300"/>
                    </a:xfrm>
                    <a:prstGeom prst="rect">
                      <a:avLst/>
                    </a:prstGeom>
                  </pic:spPr>
                </pic:pic>
              </a:graphicData>
            </a:graphic>
          </wp:inline>
        </w:drawing>
      </w:r>
      <w:r>
        <w:rPr>
          <w:rFonts w:eastAsia="Times New Roman"/>
          <w:kern w:val="0"/>
          <w:sz w:val="24"/>
          <w:szCs w:val="24"/>
        </w:rPr>
        <w:t>  </w:t>
      </w:r>
    </w:p>
    <w:p w14:paraId="75636D47">
      <w:pPr>
        <w:shd w:val="clear" w:color="auto" w:fill="FFFFFF"/>
        <w:spacing w:line="360" w:lineRule="auto"/>
        <w:jc w:val="left"/>
        <w:textAlignment w:val="center"/>
      </w:pPr>
      <w:r>
        <w:t>9．威德尔环流（</w:t>
      </w:r>
      <w:r>
        <w:rPr>
          <w:rFonts w:eastAsia="Times New Roman"/>
          <w:kern w:val="0"/>
          <w:sz w:val="24"/>
          <w:szCs w:val="24"/>
        </w:rPr>
        <w:t>   </w:t>
      </w:r>
      <w:r>
        <w:t>）</w:t>
      </w:r>
    </w:p>
    <w:p w14:paraId="02643FD9">
      <w:pPr>
        <w:shd w:val="clear" w:color="auto" w:fill="FFFFFF"/>
        <w:tabs>
          <w:tab w:val="left" w:pos="4156"/>
        </w:tabs>
        <w:spacing w:line="360" w:lineRule="auto"/>
        <w:ind w:left="300"/>
        <w:jc w:val="left"/>
        <w:textAlignment w:val="center"/>
      </w:pPr>
      <w:r>
        <w:t>A．流动方向为夏顺冬逆</w:t>
      </w:r>
      <w:r>
        <w:tab/>
      </w:r>
      <w:r>
        <w:t>B．a洋流受西北风影响，性质暖湿</w:t>
      </w:r>
    </w:p>
    <w:p w14:paraId="5AF20F78">
      <w:pPr>
        <w:shd w:val="clear" w:color="auto" w:fill="FFFFFF"/>
        <w:tabs>
          <w:tab w:val="left" w:pos="4156"/>
        </w:tabs>
        <w:spacing w:line="360" w:lineRule="auto"/>
        <w:ind w:left="300"/>
        <w:jc w:val="left"/>
        <w:textAlignment w:val="center"/>
      </w:pPr>
      <w:r>
        <w:t>C．流动方向为夏逆冬顺</w:t>
      </w:r>
      <w:r>
        <w:tab/>
      </w:r>
      <w:r>
        <w:t>D．b洋流受东南风影响，水温较低</w:t>
      </w:r>
    </w:p>
    <w:p w14:paraId="13484BCF">
      <w:pPr>
        <w:shd w:val="clear" w:color="auto" w:fill="FFFFFF"/>
        <w:spacing w:line="360" w:lineRule="auto"/>
        <w:jc w:val="left"/>
        <w:textAlignment w:val="center"/>
      </w:pPr>
      <w:r>
        <w:t>10．威德尔海南部大陆架上表层沉积物特点表现为（</w:t>
      </w:r>
      <w:r>
        <w:rPr>
          <w:rFonts w:eastAsia="Times New Roman"/>
          <w:kern w:val="0"/>
          <w:sz w:val="24"/>
          <w:szCs w:val="24"/>
        </w:rPr>
        <w:t>   </w:t>
      </w:r>
      <w:r>
        <w:t>）</w:t>
      </w:r>
    </w:p>
    <w:p w14:paraId="72B37466">
      <w:pPr>
        <w:shd w:val="clear" w:color="auto" w:fill="FFFFFF"/>
        <w:tabs>
          <w:tab w:val="left" w:pos="2078"/>
          <w:tab w:val="left" w:pos="4156"/>
          <w:tab w:val="left" w:pos="6234"/>
        </w:tabs>
        <w:spacing w:line="360" w:lineRule="auto"/>
        <w:ind w:left="380"/>
        <w:jc w:val="left"/>
        <w:textAlignment w:val="center"/>
      </w:pPr>
      <w:r>
        <w:t>A．垂直分异明显</w:t>
      </w:r>
      <w:r>
        <w:tab/>
      </w:r>
      <w:r>
        <w:t>B．磨圆度较好</w:t>
      </w:r>
      <w:r>
        <w:tab/>
      </w:r>
      <w:r>
        <w:t>C．存在水平分异</w:t>
      </w:r>
      <w:r>
        <w:tab/>
      </w:r>
      <w:r>
        <w:t>D．粒径都较大</w:t>
      </w:r>
    </w:p>
    <w:p w14:paraId="69857353">
      <w:pPr>
        <w:shd w:val="clear" w:color="auto" w:fill="FFFFFF"/>
        <w:spacing w:line="360" w:lineRule="auto"/>
        <w:ind w:firstLine="420"/>
        <w:jc w:val="left"/>
        <w:textAlignment w:val="center"/>
      </w:pPr>
      <w:r>
        <w:rPr>
          <w:rFonts w:ascii="楷体" w:hAnsi="楷体" w:eastAsia="楷体" w:cs="楷体"/>
        </w:rPr>
        <w:t>长江口航道长期深受拦门沙的困扰。1997年以来，上海市在九段沙中下沙岛上大量种植芦苇等植物，并投巨资实施了南港——北槽深水航道工程，建成了两条向河口外延伸近50千米的导提。近几十年来，长江入海泥沙量锐减，但九段沙面积却呈加速增长趋势，且沙岛沉积颗粒物不断变粗。下图是长江河口示意图，据此完成下面小题。</w:t>
      </w:r>
    </w:p>
    <w:p w14:paraId="3FA6242C">
      <w:pPr>
        <w:shd w:val="clear" w:color="auto" w:fill="FFFFFF"/>
        <w:spacing w:line="360" w:lineRule="auto"/>
        <w:jc w:val="left"/>
        <w:textAlignment w:val="center"/>
      </w:pPr>
      <w:r>
        <w:rPr>
          <w:rFonts w:eastAsia="Times New Roman"/>
          <w:kern w:val="0"/>
          <w:sz w:val="24"/>
          <w:szCs w:val="24"/>
        </w:rPr>
        <w:drawing>
          <wp:inline distT="0" distB="0" distL="0" distR="0">
            <wp:extent cx="3438525" cy="2733675"/>
            <wp:effectExtent l="0" t="0" r="0" b="0"/>
            <wp:docPr id="100009" name="图片 100009" descr="@@@2dd693d9-b0f1-4856-9388-e31557331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dd693d9-b0f1-4856-9388-e315573310b3"/>
                    <pic:cNvPicPr>
                      <a:picLocks noChangeAspect="1"/>
                    </pic:cNvPicPr>
                  </pic:nvPicPr>
                  <pic:blipFill>
                    <a:blip r:embed="rId15"/>
                    <a:stretch>
                      <a:fillRect/>
                    </a:stretch>
                  </pic:blipFill>
                  <pic:spPr>
                    <a:xfrm>
                      <a:off x="0" y="0"/>
                      <a:ext cx="3438525" cy="2733675"/>
                    </a:xfrm>
                    <a:prstGeom prst="rect">
                      <a:avLst/>
                    </a:prstGeom>
                  </pic:spPr>
                </pic:pic>
              </a:graphicData>
            </a:graphic>
          </wp:inline>
        </w:drawing>
      </w:r>
    </w:p>
    <w:p w14:paraId="63C690D6">
      <w:pPr>
        <w:shd w:val="clear" w:color="auto" w:fill="FFFFFF"/>
        <w:spacing w:line="360" w:lineRule="auto"/>
        <w:jc w:val="left"/>
        <w:textAlignment w:val="center"/>
      </w:pPr>
      <w:r>
        <w:t>11．上海市在九段沙中下沙岛上大量种植芦苇等植物的主要目的是（</w:t>
      </w:r>
      <w:r>
        <w:rPr>
          <w:rFonts w:eastAsia="Times New Roman"/>
          <w:kern w:val="0"/>
          <w:sz w:val="24"/>
          <w:szCs w:val="24"/>
        </w:rPr>
        <w:t>   </w:t>
      </w:r>
      <w:r>
        <w:t>）</w:t>
      </w:r>
    </w:p>
    <w:p w14:paraId="53AF4E50">
      <w:pPr>
        <w:shd w:val="clear" w:color="auto" w:fill="FFFFFF"/>
        <w:spacing w:line="360" w:lineRule="auto"/>
        <w:jc w:val="left"/>
        <w:textAlignment w:val="center"/>
      </w:pPr>
      <w:r>
        <w:t>①促进沙岛淤积②抵御咸潮上溯③提高主壤肥力④保护生物多样性</w:t>
      </w:r>
    </w:p>
    <w:p w14:paraId="075C3479">
      <w:pPr>
        <w:shd w:val="clear" w:color="auto" w:fill="FFFFFF"/>
        <w:tabs>
          <w:tab w:val="left" w:pos="2078"/>
          <w:tab w:val="left" w:pos="4156"/>
          <w:tab w:val="left" w:pos="6234"/>
        </w:tabs>
        <w:spacing w:line="360" w:lineRule="auto"/>
        <w:ind w:left="380"/>
        <w:jc w:val="left"/>
        <w:textAlignment w:val="center"/>
      </w:pPr>
      <w:r>
        <w:t>A．①②</w:t>
      </w:r>
      <w:r>
        <w:tab/>
      </w:r>
      <w:r>
        <w:t>B．③④</w:t>
      </w:r>
      <w:r>
        <w:tab/>
      </w:r>
      <w:r>
        <w:t>C．②③</w:t>
      </w:r>
      <w:r>
        <w:tab/>
      </w:r>
      <w:r>
        <w:t>D．①④</w:t>
      </w:r>
    </w:p>
    <w:p w14:paraId="7755BE86">
      <w:pPr>
        <w:shd w:val="clear" w:color="auto" w:fill="FFFFFF"/>
        <w:spacing w:line="360" w:lineRule="auto"/>
        <w:jc w:val="left"/>
        <w:textAlignment w:val="center"/>
      </w:pPr>
      <w:r>
        <w:t>12．近几十年来，九段沙面积增长趋势最显著的位置是（</w:t>
      </w:r>
      <w:r>
        <w:rPr>
          <w:rFonts w:eastAsia="Times New Roman"/>
          <w:kern w:val="0"/>
          <w:sz w:val="24"/>
          <w:szCs w:val="24"/>
        </w:rPr>
        <w:t>   </w:t>
      </w:r>
      <w:r>
        <w:t>）</w:t>
      </w:r>
    </w:p>
    <w:p w14:paraId="0E80A04D">
      <w:pPr>
        <w:shd w:val="clear" w:color="auto" w:fill="FFFFFF"/>
        <w:tabs>
          <w:tab w:val="left" w:pos="2078"/>
          <w:tab w:val="left" w:pos="4156"/>
          <w:tab w:val="left" w:pos="6234"/>
        </w:tabs>
        <w:spacing w:line="360" w:lineRule="auto"/>
        <w:ind w:left="380"/>
        <w:jc w:val="left"/>
        <w:textAlignment w:val="center"/>
      </w:pPr>
      <w:r>
        <w:t>A．东侧</w:t>
      </w:r>
      <w:r>
        <w:tab/>
      </w:r>
      <w:r>
        <w:t>B．南侧</w:t>
      </w:r>
      <w:r>
        <w:tab/>
      </w:r>
      <w:r>
        <w:t>C．西侧</w:t>
      </w:r>
      <w:r>
        <w:tab/>
      </w:r>
      <w:r>
        <w:t>D．北侧</w:t>
      </w:r>
      <w:r>
        <w:rPr>
          <w:rFonts w:hint="eastAsia"/>
        </w:rPr>
        <w:t>6</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00"/>
        <w:gridCol w:w="1271"/>
      </w:tblGrid>
      <w:tr w14:paraId="0F18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
              <w:gridCol w:w="788"/>
            </w:tblGrid>
            <w:tr w14:paraId="034C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0" w:type="dxa"/>
                  <w:tcBorders>
                    <w:top w:val="single" w:color="auto" w:sz="12" w:space="0"/>
                    <w:left w:val="single" w:color="auto" w:sz="12" w:space="0"/>
                    <w:bottom w:val="single" w:color="auto" w:sz="12" w:space="0"/>
                    <w:right w:val="single" w:color="auto" w:sz="12" w:space="0"/>
                  </w:tcBorders>
                  <w:vAlign w:val="center"/>
                </w:tcPr>
                <w:p w14:paraId="77926430">
                  <w:pPr>
                    <w:pBdr>
                      <w:top w:val="none" w:color="auto" w:sz="0" w:space="0"/>
                      <w:left w:val="none" w:color="auto" w:sz="0" w:space="0"/>
                      <w:bottom w:val="none" w:color="auto" w:sz="0" w:space="0"/>
                      <w:right w:val="none" w:color="auto" w:sz="0" w:space="0"/>
                      <w:between w:val="none" w:color="auto" w:sz="0" w:space="0"/>
                    </w:pBdr>
                    <w:jc w:val="center"/>
                    <w:textAlignment w:val="center"/>
                  </w:pPr>
                  <w:r>
                    <w:t>评卷人</w:t>
                  </w:r>
                </w:p>
              </w:tc>
              <w:tc>
                <w:tcPr>
                  <w:tcW w:w="800" w:type="dxa"/>
                  <w:tcBorders>
                    <w:top w:val="single" w:color="auto" w:sz="12" w:space="0"/>
                    <w:left w:val="single" w:color="auto" w:sz="12" w:space="0"/>
                    <w:bottom w:val="single" w:color="auto" w:sz="12" w:space="0"/>
                    <w:right w:val="single" w:color="auto" w:sz="12" w:space="0"/>
                  </w:tcBorders>
                  <w:vAlign w:val="center"/>
                </w:tcPr>
                <w:p w14:paraId="461A8ACF">
                  <w:pPr>
                    <w:pBdr>
                      <w:top w:val="none" w:color="auto" w:sz="0" w:space="0"/>
                      <w:left w:val="none" w:color="auto" w:sz="0" w:space="0"/>
                      <w:bottom w:val="none" w:color="auto" w:sz="0" w:space="0"/>
                      <w:right w:val="none" w:color="auto" w:sz="0" w:space="0"/>
                      <w:between w:val="none" w:color="auto" w:sz="0" w:space="0"/>
                    </w:pBdr>
                    <w:jc w:val="center"/>
                    <w:textAlignment w:val="center"/>
                  </w:pPr>
                  <w:r>
                    <w:t>得分</w:t>
                  </w:r>
                </w:p>
              </w:tc>
            </w:tr>
            <w:tr w14:paraId="379A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auto" w:sz="12" w:space="0"/>
                    <w:left w:val="single" w:color="auto" w:sz="12" w:space="0"/>
                    <w:bottom w:val="single" w:color="auto" w:sz="12" w:space="0"/>
                    <w:right w:val="single" w:color="auto" w:sz="12" w:space="0"/>
                  </w:tcBorders>
                  <w:vAlign w:val="center"/>
                </w:tcPr>
                <w:p w14:paraId="17A81919">
                  <w:pPr>
                    <w:pBdr>
                      <w:top w:val="none" w:color="auto" w:sz="0" w:space="0"/>
                      <w:left w:val="none" w:color="auto" w:sz="0" w:space="0"/>
                      <w:bottom w:val="none" w:color="auto" w:sz="0" w:space="0"/>
                      <w:right w:val="none" w:color="auto" w:sz="0" w:space="0"/>
                      <w:between w:val="none" w:color="auto" w:sz="0" w:space="0"/>
                    </w:pBdr>
                    <w:jc w:val="center"/>
                    <w:textAlignment w:val="center"/>
                  </w:pPr>
                </w:p>
              </w:tc>
              <w:tc>
                <w:tcPr>
                  <w:tcW w:w="800" w:type="dxa"/>
                  <w:tcBorders>
                    <w:top w:val="single" w:color="auto" w:sz="12" w:space="0"/>
                    <w:left w:val="single" w:color="auto" w:sz="12" w:space="0"/>
                    <w:bottom w:val="single" w:color="auto" w:sz="12" w:space="0"/>
                    <w:right w:val="single" w:color="auto" w:sz="12" w:space="0"/>
                  </w:tcBorders>
                  <w:vAlign w:val="center"/>
                </w:tcPr>
                <w:p w14:paraId="26D795CC">
                  <w:pPr>
                    <w:pBdr>
                      <w:top w:val="none" w:color="auto" w:sz="0" w:space="0"/>
                      <w:left w:val="none" w:color="auto" w:sz="0" w:space="0"/>
                      <w:bottom w:val="none" w:color="auto" w:sz="0" w:space="0"/>
                      <w:right w:val="none" w:color="auto" w:sz="0" w:space="0"/>
                      <w:between w:val="none" w:color="auto" w:sz="0" w:space="0"/>
                    </w:pBdr>
                    <w:jc w:val="center"/>
                    <w:textAlignment w:val="center"/>
                  </w:pPr>
                </w:p>
              </w:tc>
            </w:tr>
          </w:tbl>
          <w:p w14:paraId="3E889EAD"/>
        </w:tc>
        <w:tc>
          <w:tcPr>
            <w:tcW w:w="0" w:type="auto"/>
            <w:tcBorders>
              <w:top w:val="nil"/>
              <w:left w:val="nil"/>
              <w:bottom w:val="nil"/>
              <w:right w:val="nil"/>
            </w:tcBorders>
            <w:vAlign w:val="center"/>
          </w:tcPr>
          <w:p w14:paraId="1A3C1C5B">
            <w:pPr>
              <w:pBdr>
                <w:top w:val="none" w:color="auto" w:sz="0" w:space="0"/>
                <w:left w:val="none" w:color="auto" w:sz="0" w:space="0"/>
                <w:bottom w:val="none" w:color="auto" w:sz="0" w:space="0"/>
                <w:right w:val="none" w:color="auto" w:sz="0" w:space="0"/>
                <w:between w:val="none" w:color="auto" w:sz="0" w:space="0"/>
              </w:pBdr>
              <w:jc w:val="left"/>
              <w:textAlignment w:val="center"/>
              <w:rPr>
                <w:b/>
              </w:rPr>
            </w:pPr>
            <w:r>
              <w:rPr>
                <w:b/>
              </w:rPr>
              <w:t>二、综合题</w:t>
            </w:r>
          </w:p>
        </w:tc>
      </w:tr>
    </w:tbl>
    <w:p w14:paraId="3B6B66E6">
      <w:pPr>
        <w:shd w:val="clear" w:color="auto" w:fill="FFFFFF"/>
        <w:spacing w:line="360" w:lineRule="auto"/>
        <w:jc w:val="left"/>
        <w:textAlignment w:val="center"/>
      </w:pPr>
      <w:r>
        <w:t>13．阅读图文材料，完成下列要求。</w:t>
      </w:r>
    </w:p>
    <w:p w14:paraId="22574ED6">
      <w:pPr>
        <w:shd w:val="clear" w:color="auto" w:fill="FFFFFF"/>
        <w:spacing w:line="360" w:lineRule="auto"/>
        <w:ind w:firstLine="420"/>
        <w:jc w:val="left"/>
        <w:textAlignment w:val="center"/>
      </w:pPr>
      <w:r>
        <w:rPr>
          <w:rFonts w:ascii="楷体" w:hAnsi="楷体" w:eastAsia="楷体" w:cs="楷体"/>
        </w:rPr>
        <w:t>林火是森林生态系统常见且重要的干扰因子之一。大兴安岭地区是我国仅有的一块寒温带原始森林资源分布区，同时也是我国最大的森林冻土分布区，生态系统脆弱，具有较厚的凋落物和苔藓泥碳层。遇到干旱年份，凋落物变得干燥易被引燃，产生火灾。植被群落更新情况是火后森林生态恢复的重要指标之一。寒温带针叶林是大兴安岭地区主要森林类型，兴安落叶松在这个地域是优势物种。下面图1表示火烧迹地幼树数量差异（针叶主要为兴安落叶松，阔叶主要为白桦和蒙古栎），图2表示火后不同年限地上植物生物量对比。</w:t>
      </w:r>
    </w:p>
    <w:p w14:paraId="0A7833F3">
      <w:pPr>
        <w:shd w:val="clear" w:color="auto" w:fill="FFFFFF"/>
        <w:spacing w:line="360" w:lineRule="auto"/>
        <w:jc w:val="left"/>
        <w:textAlignment w:val="center"/>
      </w:pPr>
      <w:r>
        <w:rPr>
          <w:rFonts w:eastAsia="Times New Roman"/>
          <w:kern w:val="0"/>
          <w:sz w:val="24"/>
          <w:szCs w:val="24"/>
        </w:rPr>
        <w:drawing>
          <wp:inline distT="0" distB="0" distL="0" distR="0">
            <wp:extent cx="5276215" cy="1586230"/>
            <wp:effectExtent l="0" t="0" r="0" b="0"/>
            <wp:docPr id="100011" name="图片 100011" descr="@@@5f18d3f0-aeea-4335-93e2-3a708b78a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5f18d3f0-aeea-4335-93e2-3a708b78a5ac"/>
                    <pic:cNvPicPr>
                      <a:picLocks noChangeAspect="1"/>
                    </pic:cNvPicPr>
                  </pic:nvPicPr>
                  <pic:blipFill>
                    <a:blip r:embed="rId16"/>
                    <a:stretch>
                      <a:fillRect/>
                    </a:stretch>
                  </pic:blipFill>
                  <pic:spPr>
                    <a:xfrm>
                      <a:off x="0" y="0"/>
                      <a:ext cx="5276800" cy="1586582"/>
                    </a:xfrm>
                    <a:prstGeom prst="rect">
                      <a:avLst/>
                    </a:prstGeom>
                  </pic:spPr>
                </pic:pic>
              </a:graphicData>
            </a:graphic>
          </wp:inline>
        </w:drawing>
      </w:r>
    </w:p>
    <w:p w14:paraId="406D9A57">
      <w:pPr>
        <w:shd w:val="clear" w:color="auto" w:fill="FFFFFF"/>
        <w:spacing w:line="360" w:lineRule="auto"/>
        <w:jc w:val="left"/>
        <w:textAlignment w:val="center"/>
      </w:pPr>
      <w:r>
        <w:t>(1)说明大兴安岭地区成为我国仅有的一块寒温带原始森林资源分布区的条件。</w:t>
      </w:r>
    </w:p>
    <w:p w14:paraId="47C6C3C3">
      <w:pPr>
        <w:shd w:val="clear" w:color="auto" w:fill="FFFFFF"/>
        <w:spacing w:line="360" w:lineRule="auto"/>
        <w:jc w:val="left"/>
        <w:textAlignment w:val="center"/>
      </w:pPr>
      <w:r>
        <w:t>(2)概括不同程度火烧对火烧迹地幼树数量的影响。</w:t>
      </w:r>
    </w:p>
    <w:p w14:paraId="2F50E69C">
      <w:pPr>
        <w:shd w:val="clear" w:color="auto" w:fill="FFFFFF"/>
        <w:spacing w:line="360" w:lineRule="auto"/>
        <w:jc w:val="left"/>
        <w:textAlignment w:val="center"/>
      </w:pPr>
      <w:r>
        <w:t>(3)与灌木层相比，说出重度火烧迹地草本层火后6年和火后14年生物量的变化特点，并分析原因。</w:t>
      </w:r>
    </w:p>
    <w:p w14:paraId="4DABAF2F">
      <w:pPr>
        <w:shd w:val="clear" w:color="auto" w:fill="FFFFFF"/>
        <w:spacing w:line="360" w:lineRule="auto"/>
        <w:jc w:val="left"/>
        <w:textAlignment w:val="center"/>
      </w:pPr>
      <w:r>
        <w:t>(4)有研究表明，重度火烧后的样地更有利于喜光树种的更新与发育，请说明理由。</w:t>
      </w:r>
    </w:p>
    <w:p w14:paraId="4E6C86F9">
      <w:pPr>
        <w:shd w:val="clear" w:color="auto" w:fill="FFFFFF"/>
        <w:spacing w:line="360" w:lineRule="auto"/>
        <w:jc w:val="left"/>
        <w:textAlignment w:val="center"/>
      </w:pPr>
      <w:r>
        <w:t>14．阅读图文资料，完成下列要求。</w:t>
      </w:r>
    </w:p>
    <w:p w14:paraId="3482E3B0">
      <w:pPr>
        <w:shd w:val="clear" w:color="auto" w:fill="FFFFFF"/>
        <w:spacing w:line="360" w:lineRule="auto"/>
        <w:ind w:firstLine="420"/>
        <w:jc w:val="left"/>
        <w:textAlignment w:val="center"/>
      </w:pPr>
      <w:r>
        <w:rPr>
          <w:rFonts w:ascii="楷体" w:hAnsi="楷体" w:eastAsia="楷体" w:cs="楷体"/>
        </w:rPr>
        <w:t>黄河下游滩区是指黄河主河槽与防汛大堤之间的区域。黄河下游河道不断游荡摆动，历史上修建的大堤离主河槽很远，滩区宽5至24千米，许多农田和村舍被圈进大堤之内的行洪区，滩区有耕地340余万亩，居住人口约180万。近几十年来滩区遭受洪水漫滩30余次，农业生产极不稳定。据统计，滩区沉沙约占整个下游河道淤积量的70%，20世纪80年代以来，黄河下游因水少沙多，泥沙淤积抬高主河槽，形成“二级悬河”。滩上的生产堤是当地居民修筑的临时防洪堤，难以抵挡大洪水。受生产堤阻隔，槽与滩之间的水沙无法自由交换（自然进出）。</w:t>
      </w:r>
    </w:p>
    <w:p w14:paraId="1C6599A0">
      <w:pPr>
        <w:shd w:val="clear" w:color="auto" w:fill="FFFFFF"/>
        <w:spacing w:line="360" w:lineRule="auto"/>
        <w:ind w:firstLine="420"/>
        <w:jc w:val="left"/>
        <w:textAlignment w:val="center"/>
      </w:pPr>
      <w:r>
        <w:rPr>
          <w:rFonts w:ascii="楷体" w:hAnsi="楷体" w:eastAsia="楷体" w:cs="楷体"/>
        </w:rPr>
        <w:t>2002年小浪底调水调沙以来，黄河下游主河槽冲刷明显，但“二级悬河”河道形态未明显改善。近年来，改善黄河下游滩区生态环境综合治理方案提出：将主河槽的泥沙搬到大堤附近筑成高滩，彻底消除“二级悬河”；在高滩移民建镇；扩大主河槽以高效行洪输沙；在二滩（见图2）发展生态观光农业。该方案考虑了全滩区滞洪沉沙，是滩区进行生态再造和治理的全新模式。图1示意黄河下游“二级悬河”剖面，图2示意黄河下游滩区生态再造与治理后横断面。</w:t>
      </w:r>
    </w:p>
    <w:p w14:paraId="00C35BEE">
      <w:pPr>
        <w:shd w:val="clear" w:color="auto" w:fill="FFFFFF"/>
        <w:spacing w:line="360" w:lineRule="auto"/>
        <w:jc w:val="left"/>
        <w:textAlignment w:val="center"/>
      </w:pPr>
      <w:r>
        <w:rPr>
          <w:rFonts w:eastAsia="Times New Roman"/>
          <w:kern w:val="0"/>
          <w:sz w:val="24"/>
          <w:szCs w:val="24"/>
        </w:rPr>
        <w:drawing>
          <wp:inline distT="0" distB="0" distL="0" distR="0">
            <wp:extent cx="4781550" cy="2390775"/>
            <wp:effectExtent l="0" t="0" r="0" b="0"/>
            <wp:docPr id="100013" name="图片 100013" descr="@@@00358d4d2b3543989234c20b2a3f66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00358d4d2b3543989234c20b2a3f66ce"/>
                    <pic:cNvPicPr>
                      <a:picLocks noChangeAspect="1"/>
                    </pic:cNvPicPr>
                  </pic:nvPicPr>
                  <pic:blipFill>
                    <a:blip r:embed="rId17"/>
                    <a:stretch>
                      <a:fillRect/>
                    </a:stretch>
                  </pic:blipFill>
                  <pic:spPr>
                    <a:xfrm>
                      <a:off x="0" y="0"/>
                      <a:ext cx="4781550" cy="2390775"/>
                    </a:xfrm>
                    <a:prstGeom prst="rect">
                      <a:avLst/>
                    </a:prstGeom>
                  </pic:spPr>
                </pic:pic>
              </a:graphicData>
            </a:graphic>
          </wp:inline>
        </w:drawing>
      </w:r>
    </w:p>
    <w:p w14:paraId="61AA73E7">
      <w:pPr>
        <w:shd w:val="clear" w:color="auto" w:fill="FFFFFF"/>
        <w:spacing w:line="360" w:lineRule="auto"/>
        <w:jc w:val="left"/>
        <w:textAlignment w:val="center"/>
      </w:pPr>
      <w:r>
        <w:t>(1)请据图1说明什么是“二级悬河”。</w:t>
      </w:r>
    </w:p>
    <w:p w14:paraId="632D58D5">
      <w:pPr>
        <w:shd w:val="clear" w:color="auto" w:fill="FFFFFF"/>
        <w:spacing w:line="360" w:lineRule="auto"/>
        <w:jc w:val="left"/>
        <w:textAlignment w:val="center"/>
      </w:pPr>
      <w:r>
        <w:t>(2)简述在“二级悬河”形成之前的洪水期，滩区在水沙调节中的主要作用。</w:t>
      </w:r>
    </w:p>
    <w:p w14:paraId="5DB5C89B">
      <w:pPr>
        <w:shd w:val="clear" w:color="auto" w:fill="FFFFFF"/>
        <w:spacing w:line="360" w:lineRule="auto"/>
        <w:jc w:val="left"/>
        <w:textAlignment w:val="center"/>
      </w:pPr>
      <w:r>
        <w:t>(3)简析将滩区居民大量安置在大堤内高滩处的主要原因。</w:t>
      </w:r>
    </w:p>
    <w:p w14:paraId="54CF5539">
      <w:pPr>
        <w:shd w:val="clear" w:color="auto" w:fill="FFFFFF"/>
        <w:spacing w:line="360" w:lineRule="auto"/>
        <w:jc w:val="left"/>
        <w:textAlignment w:val="center"/>
      </w:pPr>
      <w:r>
        <w:t>(4)滩区综合治理后，主河槽与滩地之间水沙实现了自由交换，请解释在图2所示两种不同级别洪水条件下，水沙是如何进行自由交换的。</w:t>
      </w:r>
    </w:p>
    <w:p w14:paraId="0FA401F8">
      <w:pPr>
        <w:shd w:val="clear" w:color="auto" w:fill="FFFFFF"/>
        <w:spacing w:line="360" w:lineRule="auto"/>
        <w:jc w:val="left"/>
        <w:textAlignment w:val="center"/>
      </w:pPr>
    </w:p>
    <w:p w14:paraId="76B563D9">
      <w:pPr>
        <w:shd w:val="clear" w:color="auto" w:fill="FFFFFF"/>
        <w:spacing w:line="360" w:lineRule="auto"/>
        <w:jc w:val="left"/>
        <w:textAlignment w:val="center"/>
        <w:sectPr>
          <w:footerReference r:id="rId3" w:type="default"/>
          <w:footerReference r:id="rId4" w:type="even"/>
          <w:pgSz w:w="23814" w:h="16840" w:orient="landscape"/>
          <w:pgMar w:top="1440" w:right="1080" w:bottom="1440" w:left="1080" w:header="851" w:footer="692" w:gutter="0"/>
          <w:cols w:space="425" w:num="2" w:sep="1"/>
          <w:docGrid w:type="lines" w:linePitch="312" w:charSpace="0"/>
        </w:sectPr>
      </w:pPr>
    </w:p>
    <w:p w14:paraId="035B08A4">
      <w:pPr>
        <w:textAlignment w:val="center"/>
      </w:pPr>
    </w:p>
    <w:sectPr>
      <w:headerReference r:id="rId5" w:type="default"/>
      <w:footerReference r:id="rId7" w:type="default"/>
      <w:headerReference r:id="rId6" w:type="even"/>
      <w:footerReference r:id="rId8" w:type="even"/>
      <w:pgSz w:w="23811" w:h="16838" w:orient="landscape"/>
      <w:pgMar w:top="1797" w:right="1440" w:bottom="1797"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BAFDC">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p w14:paraId="5B4ED724">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D735">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7A66">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5800640D">
    <w:pPr>
      <w:tabs>
        <w:tab w:val="center" w:pos="4153"/>
        <w:tab w:val="right" w:pos="8306"/>
      </w:tabs>
      <w:snapToGrid w:val="0"/>
      <w:jc w:val="left"/>
      <w:rPr>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C765">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E74D"/>
  <w:p w14:paraId="32167EC2">
    <w:pPr>
      <w:pBdr>
        <w:bottom w:val="none" w:color="auto" w:sz="0" w:space="1"/>
      </w:pBdr>
      <w:snapToGrid w:val="0"/>
      <w:rPr>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27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37434"/>
    <w:rsid w:val="003F38F2"/>
    <w:rsid w:val="004151FC"/>
    <w:rsid w:val="005E1D32"/>
    <w:rsid w:val="006322B1"/>
    <w:rsid w:val="0064153B"/>
    <w:rsid w:val="006B16C5"/>
    <w:rsid w:val="006B322F"/>
    <w:rsid w:val="006D7B61"/>
    <w:rsid w:val="00776133"/>
    <w:rsid w:val="008A5F97"/>
    <w:rsid w:val="008C07DE"/>
    <w:rsid w:val="009C136B"/>
    <w:rsid w:val="009E447E"/>
    <w:rsid w:val="009E611B"/>
    <w:rsid w:val="00A30CCE"/>
    <w:rsid w:val="00AC3E9C"/>
    <w:rsid w:val="00B818D2"/>
    <w:rsid w:val="00BC4F14"/>
    <w:rsid w:val="00BF535F"/>
    <w:rsid w:val="00C02FC6"/>
    <w:rsid w:val="00C27F48"/>
    <w:rsid w:val="00C806B0"/>
    <w:rsid w:val="00CB10FB"/>
    <w:rsid w:val="00CC55CE"/>
    <w:rsid w:val="00CE4DB5"/>
    <w:rsid w:val="00D304EF"/>
    <w:rsid w:val="00DA0230"/>
    <w:rsid w:val="00E476EE"/>
    <w:rsid w:val="00EF035E"/>
    <w:rsid w:val="00FA429B"/>
    <w:rsid w:val="1A694C59"/>
    <w:rsid w:val="396A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2264</Words>
  <Characters>2312</Characters>
  <Lines>17</Lines>
  <Paragraphs>4</Paragraphs>
  <TotalTime>43</TotalTime>
  <ScaleCrop>false</ScaleCrop>
  <LinksUpToDate>false</LinksUpToDate>
  <CharactersWithSpaces>2377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A小荣</cp:lastModifiedBy>
  <dcterms:modified xsi:type="dcterms:W3CDTF">2025-05-20T05:50:14Z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eyJoZGlkIjoiNDE4YzdmNWI2NWZlMTAwN2E4YjhhMjdiODBiOGZkMWEiLCJ1c2VySWQiOiI0NTQwODMyOTUifQ==</vt:lpwstr>
  </property>
  <property fmtid="{D5CDD505-2E9C-101B-9397-08002B2CF9AE}" pid="7" name="KSOProductBuildVer">
    <vt:lpwstr>2052-12.1.0.21171</vt:lpwstr>
  </property>
  <property fmtid="{D5CDD505-2E9C-101B-9397-08002B2CF9AE}" pid="8" name="ICV">
    <vt:lpwstr>6FA3FDD25D8840C2B1D6F8D90A72E280_12</vt:lpwstr>
  </property>
</Properties>
</file>