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0495">
      <w:pPr>
        <w:spacing w:line="440" w:lineRule="exact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黑体_GBK" w:eastAsia="方正黑体_GBK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11506200</wp:posOffset>
            </wp:positionV>
            <wp:extent cx="279400" cy="304800"/>
            <wp:effectExtent l="0" t="0" r="1016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高中历史</w:t>
      </w:r>
      <w:r>
        <w:rPr>
          <w:rFonts w:hint="eastAsia" w:ascii="方正黑体_GBK" w:hAnsi="黑体" w:eastAsia="方正黑体_GBK" w:cs="黑体"/>
          <w:sz w:val="36"/>
          <w:szCs w:val="36"/>
        </w:rPr>
        <w:t>试卷</w:t>
      </w:r>
    </w:p>
    <w:p w14:paraId="638170EA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420" w:beforeAutospacing="0" w:after="180" w:afterAutospacing="0" w:line="420" w:lineRule="atLeast"/>
        <w:ind w:left="0" w:firstLine="3600" w:firstLineChars="1000"/>
        <w:jc w:val="both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历史卷</w:t>
      </w:r>
    </w:p>
    <w:p w14:paraId="4D555D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 w:bidi="ar-SA"/>
        </w:rPr>
        <w:t>分值：100 分</w:t>
      </w:r>
      <w:r>
        <w:rPr>
          <w:rFonts w:hint="eastAsia" w:eastAsia="黑体" w:cs="Times New Roman"/>
          <w:color w:val="000000"/>
          <w:kern w:val="0"/>
          <w:sz w:val="24"/>
          <w:szCs w:val="24"/>
          <w:lang w:val="en-US" w:eastAsia="zh-CN" w:bidi="ar-SA"/>
        </w:rPr>
        <w:t xml:space="preserve">  时间120分钟</w:t>
      </w:r>
    </w:p>
    <w:p w14:paraId="031056FF">
      <w:pPr>
        <w:spacing w:line="360" w:lineRule="auto"/>
        <w:rPr>
          <w:rFonts w:hint="default" w:eastAsia="黑体"/>
          <w:spacing w:val="2"/>
          <w:szCs w:val="21"/>
        </w:rPr>
      </w:pPr>
      <w:r>
        <w:rPr>
          <w:rFonts w:hint="default" w:eastAsia="黑体"/>
          <w:spacing w:val="2"/>
          <w:szCs w:val="21"/>
          <w:lang w:val="en-US" w:eastAsia="zh-CN"/>
        </w:rPr>
        <w:t>一、选择题：本题共 16 小题，每小题 3 分，共 48 分。在每小题给出的四个选项中，只有一项符合题目要求。</w:t>
      </w:r>
    </w:p>
    <w:p w14:paraId="2DD82ABA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1．新石器时代晚期，黄河流域出现以大型聚落为中心、周围分布中小型村落的 “金字塔式” 结构，中心聚落出土了大量石器、骨器和陶器作坊遗迹。这表明（　　）</w:t>
      </w:r>
    </w:p>
    <w:p w14:paraId="75C1B9B9">
      <w:pPr>
        <w:spacing w:line="360" w:lineRule="auto"/>
        <w:textAlignment w:val="center"/>
        <w:rPr>
          <w:rFonts w:hint="eastAsia"/>
          <w:b/>
          <w:bCs/>
          <w:szCs w:val="22"/>
        </w:rPr>
      </w:pPr>
      <w:r>
        <w:rPr>
          <w:rFonts w:hint="default"/>
          <w:szCs w:val="22"/>
          <w:lang w:val="en-US" w:eastAsia="zh-CN"/>
        </w:rPr>
        <w:t>A．原始手工业开始兴起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B．社会分化进一步加剧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C．早期国家已正式形成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D．农业生产已占据主导</w:t>
      </w:r>
    </w:p>
    <w:p w14:paraId="15660ACA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2．战国时期，秦国蜀郡太守李冰主持修建都江堰，“旱则引水浸润，雨则杜塞水门”，使成都平原成为 “水旱从人” 的沃野。这反映出（　　）</w:t>
      </w:r>
    </w:p>
    <w:p w14:paraId="2AD418BA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A．区域经济发展不平衡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B．中央集权制度的优势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C．水利工程技术的成熟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D．农耕文明的生存智慧</w:t>
      </w:r>
    </w:p>
    <w:p w14:paraId="028AD5C2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3．《汉书・食货志》记载：“（汉武帝）於是募民能输及输粟於边者拜爵，爵得至大庶长。” 该政策实施的主要目的是（　　）</w:t>
      </w:r>
    </w:p>
    <w:p w14:paraId="1A39320E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A．缓解财政危机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B．打击豪强势力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C．促进边疆开发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D．强化中央集权</w:t>
      </w:r>
    </w:p>
    <w:p w14:paraId="36C42495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4．唐代长安的崇仁坊 “一街辐辏，遂倾两市，昼夜喧呼，灯火不绝”，而毗邻的平康坊则是著名的娱乐区。这反映出唐代（　　）</w:t>
      </w:r>
    </w:p>
    <w:p w14:paraId="68DA341F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A．坊市制度彻底崩溃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B．商业活动突破时空限制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C．城市功能分区明显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D．市民文化成为社会主流</w:t>
      </w:r>
    </w:p>
    <w:p w14:paraId="4F48BCA5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5．宋太宗曾说：“国家若无外忧，必有内患。外忧不过边事，皆可预防，惟奸邪无状，若为内患，深可惧也。” 为此，宋朝（　　）</w:t>
      </w:r>
    </w:p>
    <w:p w14:paraId="6BD6F8A7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A．推行崇文抑武政策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B．设立参知政事分割相权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C．实行募兵制扩充军力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D．改革科举制扩大统治基础</w:t>
      </w:r>
    </w:p>
    <w:p w14:paraId="4B82D843">
      <w:pPr>
        <w:spacing w:line="240" w:lineRule="auto"/>
        <w:ind w:left="0" w:firstLine="0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6．明清时期，江南市镇兴起 “机户出资，机工出力” 的生产模式。近年来有学者提出，这种雇佣关系并非简单的资本主义萌芽，而是传统行会制度下 “主匠经济” 的延伸，机户与机工之间存在着师徒伦理或宗族纽带。这一观点旨在强调（　　）</w:t>
      </w:r>
    </w:p>
    <w:p w14:paraId="69F1ED65">
      <w:pPr>
        <w:spacing w:line="240" w:lineRule="auto"/>
        <w:ind w:left="0" w:firstLine="0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A．明清手工业的近代化转型</w:t>
      </w:r>
    </w:p>
    <w:p w14:paraId="10498466">
      <w:pPr>
        <w:spacing w:line="240" w:lineRule="auto"/>
        <w:ind w:left="0" w:firstLine="0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B．资本主义萌芽理论的局限性</w:t>
      </w:r>
    </w:p>
    <w:p w14:paraId="4E7A5C75">
      <w:pPr>
        <w:spacing w:line="240" w:lineRule="auto"/>
        <w:ind w:left="0" w:firstLine="0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C．江南市镇经济的封闭性</w:t>
      </w:r>
    </w:p>
    <w:p w14:paraId="5CA826D5">
      <w:pPr>
        <w:spacing w:line="240" w:lineRule="auto"/>
        <w:ind w:left="0" w:firstLine="0"/>
        <w:textAlignment w:val="center"/>
        <w:rPr>
          <w:rFonts w:hint="default"/>
          <w:b/>
          <w:bCs/>
          <w:szCs w:val="22"/>
          <w:lang w:val="en-US" w:eastAsia="zh-CN"/>
        </w:rPr>
      </w:pPr>
      <w:r>
        <w:rPr>
          <w:rFonts w:hint="default"/>
          <w:szCs w:val="22"/>
        </w:rPr>
        <w:t>D．传统社会结构的稳定性</w:t>
      </w:r>
    </w:p>
    <w:p w14:paraId="1DF441E9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7．1862 年，清政府在北京设立同文馆，初设英文馆，后增设法文、俄文、德文、日文馆，1867 年又增设算学馆。这一举措（　　）</w:t>
      </w:r>
    </w:p>
    <w:p w14:paraId="576111C3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A．推动了教育近代化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B．旨在培养外交人才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C．动摇了儒学正统地位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D．开启了实业救国思潮</w:t>
      </w:r>
    </w:p>
    <w:p w14:paraId="13E08BF9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8．1912 年，孙中山在《临时大总统宣言书》中提出 “合汉、满、蒙、回、藏诸地为一国，即合汉、满、蒙、回、藏诸族为一人 —— 是曰民族之统一”。这体现了（　　）</w:t>
      </w:r>
    </w:p>
    <w:p w14:paraId="02085D71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A．民族平等思想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B．五族共和理念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C．反帝爱国精神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D．民主共和原则</w:t>
      </w:r>
    </w:p>
    <w:p w14:paraId="5850ACAE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9．1956 年，毛泽东在《论十大关系》中指出：“我们的方针是，一切民族、一切国家的长处都要学…… 但是，必须有分析有批判地学，不能盲目地学。” 这一论述（　　）</w:t>
      </w:r>
    </w:p>
    <w:p w14:paraId="5A942127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A．开启了对外开放进程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B．突破了苏联模式束缚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C．推动了国民经济调整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D．体现了实事求是的原则</w:t>
      </w:r>
    </w:p>
    <w:p w14:paraId="442E1648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10．古代两河流域的泥板文献记载，乌尔第三王朝（约前 2113— 前 2006 年）设有 “农业部”“司法部”“商务部” 等机构，国王通过中央和地方官员直接控制行政、军事和经济。这反映出（　　）</w:t>
      </w:r>
    </w:p>
    <w:p w14:paraId="409D60AA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A．君主专制制度形成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B．官僚体系较为完善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C．早期国家职能分化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D．神权政治色彩浓厚</w:t>
      </w:r>
    </w:p>
    <w:p w14:paraId="4FBC257A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11．中世纪的西欧，庄园领主往往在领地内设置法庭，审理农奴之间的纠纷，判决依据是习惯法或村规。这反映出庄园（　　）</w:t>
      </w:r>
    </w:p>
    <w:p w14:paraId="1E98D4EF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A．具有自治管理职能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B．成为中央集权的障碍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C．维护了农民的利益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D．司法权力高于世俗王权</w:t>
      </w:r>
    </w:p>
    <w:p w14:paraId="57C12E07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12．15 世纪末，西班牙国王斐迪南二世和伊莎贝拉一世资助哥伦布远航，宣称 “为了上帝和陛下的利益，给那些尚处于黑暗中的人们带去光明”。这表明（　　）</w:t>
      </w:r>
    </w:p>
    <w:p w14:paraId="01CBD7C9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A．宗教改革影响航海决策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B．殖民扩张具有双重目的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C．人文主义思想广泛传播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D．西班牙主导全球贸易</w:t>
      </w:r>
    </w:p>
    <w:p w14:paraId="1DA343B9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13．1787 年美国宪法规定：“总统有权缔订条约，但须争取参议院的意见和同意，并须出席的参议员中三分之二的人赞成。” 这一规定体现了（　　）</w:t>
      </w:r>
    </w:p>
    <w:p w14:paraId="4BFA020C">
      <w:pPr>
        <w:spacing w:line="360" w:lineRule="auto"/>
        <w:textAlignment w:val="center"/>
        <w:rPr>
          <w:rFonts w:hint="default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A．联邦制原则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B．分权制衡原则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C．主权在民原则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D．三权分立原则</w:t>
      </w:r>
    </w:p>
    <w:p w14:paraId="543881AD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14．19 世纪中期，英国工人协会发布《人民宪章》，提出 “年满 21 岁且精神正常的男子都有普选权”“废除议员候选人的财产资格限制” 等主张。这反映出（　　）</w:t>
      </w:r>
    </w:p>
    <w:p w14:paraId="3122F653">
      <w:pPr>
        <w:spacing w:line="360" w:lineRule="auto"/>
        <w:textAlignment w:val="center"/>
        <w:rPr>
          <w:rFonts w:hint="eastAsia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A．工人阶级登上政治舞台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B．君主立宪制面临挑战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C．无产阶级革命条件成熟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D．议会改革的迫切性</w:t>
      </w:r>
    </w:p>
    <w:p w14:paraId="0D733402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15．1917 年，俄国二月革命推翻沙皇统治后，资产阶级临时政府继续参加一战，导致国内经济崩溃、社会矛盾激化。这直接推动了（　　）</w:t>
      </w:r>
    </w:p>
    <w:p w14:paraId="2FB2D9A3">
      <w:pPr>
        <w:spacing w:line="360" w:lineRule="auto"/>
        <w:textAlignment w:val="center"/>
        <w:rPr>
          <w:rFonts w:hint="default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A．十月革命的爆发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B．新经济政策的实施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C．苏联的成立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D．农业集体化运动</w:t>
      </w:r>
    </w:p>
    <w:p w14:paraId="67513C9D">
      <w:pPr>
        <w:spacing w:line="360" w:lineRule="auto"/>
        <w:ind w:left="315" w:hanging="315"/>
        <w:textAlignment w:val="center"/>
        <w:rPr>
          <w:rFonts w:hint="default"/>
          <w:szCs w:val="22"/>
        </w:rPr>
      </w:pPr>
      <w:r>
        <w:rPr>
          <w:rFonts w:hint="default"/>
          <w:szCs w:val="22"/>
        </w:rPr>
        <w:t>16．二战后，西欧国家通过建立欧洲煤钢共同体、欧洲经济共同体和欧洲原子能共同体，逐步实现了从经济联合到政治联盟的转变。这一过程（　　）</w:t>
      </w:r>
    </w:p>
    <w:p w14:paraId="68BE3639">
      <w:pPr>
        <w:spacing w:line="360" w:lineRule="auto"/>
        <w:textAlignment w:val="center"/>
        <w:rPr>
          <w:rFonts w:hint="default"/>
          <w:b/>
          <w:bCs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A．消除了西欧各国的矛盾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B．标志着多极化格局形成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C．增强了西欧的国际地位</w:t>
      </w:r>
      <w:r>
        <w:rPr>
          <w:rFonts w:hint="default"/>
          <w:szCs w:val="22"/>
          <w:lang w:val="en-US" w:eastAsia="zh-CN"/>
        </w:rPr>
        <w:br w:type="textWrapping"/>
      </w:r>
      <w:r>
        <w:rPr>
          <w:rFonts w:hint="default"/>
          <w:szCs w:val="22"/>
          <w:lang w:val="en-US" w:eastAsia="zh-CN"/>
        </w:rPr>
        <w:t>D．阻碍了经济全球化进程</w:t>
      </w:r>
    </w:p>
    <w:p w14:paraId="47E4A94A">
      <w:pPr>
        <w:overflowPunct w:val="0"/>
        <w:adjustRightInd w:val="0"/>
        <w:spacing w:line="360" w:lineRule="auto"/>
        <w:textAlignment w:val="center"/>
        <w:rPr>
          <w:rFonts w:hint="default" w:eastAsia="黑体"/>
          <w:spacing w:val="2"/>
          <w:szCs w:val="21"/>
        </w:rPr>
      </w:pPr>
      <w:r>
        <w:rPr>
          <w:rFonts w:hint="default" w:eastAsia="黑体"/>
          <w:spacing w:val="2"/>
          <w:szCs w:val="21"/>
          <w:lang w:val="en-US" w:eastAsia="zh-CN"/>
        </w:rPr>
        <w:t>二、非选择题：本题共 4 小题，共 52 分。</w:t>
      </w:r>
    </w:p>
    <w:p w14:paraId="09E8D80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lang w:val="en-US" w:eastAsia="zh-CN" w:bidi="ar-SA"/>
        </w:rPr>
        <w:t>17.</w:t>
      </w:r>
      <w:r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  <w:t>（14 分）</w:t>
      </w:r>
    </w:p>
    <w:p w14:paraId="56A2C930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材料一</w:t>
      </w:r>
    </w:p>
    <w:p w14:paraId="6289E7BC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古埃及圣书字（左）与商周甲骨文（右）对比图</w:t>
      </w:r>
    </w:p>
    <w:p w14:paraId="38ECF763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3E7FCFA3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489710" cy="1447800"/>
            <wp:effectExtent l="0" t="0" r="0" b="0"/>
            <wp:docPr id="1" name="图片 1" descr="绘制古代文字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制古代文字对比图"/>
                    <pic:cNvPicPr>
                      <a:picLocks noChangeAspect="1"/>
                    </pic:cNvPicPr>
                  </pic:nvPicPr>
                  <pic:blipFill>
                    <a:blip r:embed="rId5"/>
                    <a:srcRect r="11705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304925" cy="1448435"/>
            <wp:effectExtent l="0" t="0" r="0" b="0"/>
            <wp:docPr id="2" name="图片 2" descr="绘制古代文字对比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绘制古代文字对比图 (1)"/>
                    <pic:cNvPicPr>
                      <a:picLocks noChangeAspect="1"/>
                    </pic:cNvPicPr>
                  </pic:nvPicPr>
                  <pic:blipFill>
                    <a:blip r:embed="rId6"/>
                    <a:srcRect r="990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8299E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（说明：左图为古埃及托特神崇拜相关铭文，右图为甲骨文 “牛”“祭” 字样）</w:t>
      </w:r>
    </w:p>
    <w:p w14:paraId="19CDA0C8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0B825B23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材料二</w:t>
      </w:r>
    </w:p>
    <w:p w14:paraId="459BC12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两河流域泥板文献记载：“乌鲁克城的书记员需学习苏美尔文与阿卡德文，掌握计算谷物库存、记录商贸契约的能力，其训练手册中包含‘如何书写神庙贡品清单’的范例。”</w:t>
      </w:r>
    </w:p>
    <w:p w14:paraId="6267A55F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—— 据《美索不达米亚文明史料选读》</w:t>
      </w:r>
    </w:p>
    <w:p w14:paraId="63B7F367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32C7E37C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材料三</w:t>
      </w:r>
    </w:p>
    <w:p w14:paraId="7E857EE9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《周礼・春官》载：“太史掌建邦之六典，以逆邦国之治；掌法以逆官府之治；掌则以逆都鄙之治。凡辨法者考焉，不信者刑之。”（注：太史为商周时期执掌文书、历法的官员）</w:t>
      </w:r>
    </w:p>
    <w:p w14:paraId="509EE339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3CBF5831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（1）根据材料一，指出古埃及文字与甲骨文在造字理念上的差异。（4 分）</w:t>
      </w:r>
    </w:p>
    <w:p w14:paraId="3E6B20AD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（2）结合材料二、三及所学知识，分析古代文明早期文字使用的共同社会功能。（6 分）</w:t>
      </w:r>
    </w:p>
    <w:p w14:paraId="60AD7152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（3）从文明交流角度，说明古埃及文字、两河流域楔形文字与汉字对人类历史的共同价值。（4 分）</w:t>
      </w:r>
    </w:p>
    <w:p w14:paraId="1781A530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</w:p>
    <w:p w14:paraId="60D847BE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</w:p>
    <w:p w14:paraId="38F589E0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</w:p>
    <w:p w14:paraId="23C3D296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  <w:t>18</w:t>
      </w:r>
      <w:r>
        <w:rPr>
          <w:rFonts w:hint="eastAsia" w:cs="Times New Roman"/>
          <w:kern w:val="2"/>
          <w:sz w:val="21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  <w:t>（1</w:t>
      </w:r>
      <w:r>
        <w:rPr>
          <w:rFonts w:hint="eastAsia" w:cs="Times New Roman"/>
          <w:kern w:val="2"/>
          <w:sz w:val="21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  <w:t xml:space="preserve"> 分）</w:t>
      </w:r>
    </w:p>
    <w:p w14:paraId="57F5A1C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材料一</w:t>
      </w:r>
    </w:p>
    <w:p w14:paraId="321459D0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1789 年法国《人权宣言》第 6 条：“法律是公共意志的表现。全国公民都有权亲身或经由其代表参与法律的制定。”</w:t>
      </w:r>
    </w:p>
    <w:p w14:paraId="4B12E466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1804 年《拿破仑法典》序言：“所有法国人都享有民事权利…… 依法成立的契约，在缔结契约当事人间有相当于法律的效力。”</w:t>
      </w:r>
    </w:p>
    <w:p w14:paraId="041F570B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55E7B65D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材料二</w:t>
      </w:r>
    </w:p>
    <w:p w14:paraId="2532F70E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1908 年清政府《钦定宪法大纲》正文（节选）：</w:t>
      </w:r>
    </w:p>
    <w:p w14:paraId="33AFCFFD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56DBDE48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君上大权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臣民权利义务</w:t>
      </w:r>
    </w:p>
    <w:p w14:paraId="0CF4624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一、大清皇帝统治大清帝国，万世一系，永永尊戴。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一、臣民中有合于法律命令所定资格者，得为文武官吏及议员。</w:t>
      </w:r>
    </w:p>
    <w:p w14:paraId="21089B1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三、钦定颁行法律及发交议案之权。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二、臣民于法律范围以内，所有言论、著作、出版及集会、结社等事，均准其自由。</w:t>
      </w:r>
    </w:p>
    <w:p w14:paraId="253B63E6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5C91D93D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材料三</w:t>
      </w:r>
    </w:p>
    <w:p w14:paraId="2229AF5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学者观点：“法国宪政之路是‘革命 — 断裂 — 重构’的模式，而中国清末宪政是‘传统框架内的渐进改良’，两者均受制于特定的历史语境。”</w:t>
      </w:r>
    </w:p>
    <w:p w14:paraId="79DBE0CA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—— 据钱乘旦《世界现代化历程》</w:t>
      </w:r>
    </w:p>
    <w:p w14:paraId="766DD65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724DD76E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（1）根据材料一，概括法国宪政的核心理念。（</w:t>
      </w:r>
      <w:r>
        <w:rPr>
          <w:rFonts w:hint="eastAsia"/>
          <w:szCs w:val="22"/>
          <w:lang w:val="en-US" w:eastAsia="zh-CN"/>
        </w:rPr>
        <w:t>3</w:t>
      </w:r>
      <w:r>
        <w:rPr>
          <w:rFonts w:hint="default"/>
          <w:szCs w:val="22"/>
          <w:lang w:val="en-US" w:eastAsia="zh-CN"/>
        </w:rPr>
        <w:t xml:space="preserve"> 分）</w:t>
      </w:r>
    </w:p>
    <w:p w14:paraId="3293C315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（2）对比材料一、二，指出清末宪政的局限性，并分析其历史背景。（6 分）</w:t>
      </w:r>
    </w:p>
    <w:p w14:paraId="0F9BC421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（3）结合材料三及所学知识，谈谈你对 “宪政模式受制于历史语境” 的理解。（4 分）</w:t>
      </w:r>
    </w:p>
    <w:p w14:paraId="7736BF29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6F4D42D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2E71B19E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3E34992E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403B5B0D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03B6FC03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19</w:t>
      </w:r>
      <w:r>
        <w:rPr>
          <w:rFonts w:hint="eastAsia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.(13分)</w:t>
      </w:r>
    </w:p>
    <w:p w14:paraId="66ADA996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材料一</w:t>
      </w:r>
    </w:p>
    <w:p w14:paraId="50645518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1850-1910 年美国移民来源构成表（%）</w:t>
      </w:r>
    </w:p>
    <w:p w14:paraId="7C08A4C5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6D312712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时期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西北欧移民（英、德、北欧）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南欧东欧移民（意、俄、波兰）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亚洲移民</w:t>
      </w:r>
    </w:p>
    <w:p w14:paraId="09BFC3F3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1850-1870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85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5</w:t>
      </w:r>
    </w:p>
    <w:p w14:paraId="3B931196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1871-1900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60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35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5</w:t>
      </w:r>
    </w:p>
    <w:p w14:paraId="7CB4DE8A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1901-1910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30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65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5</w:t>
      </w:r>
    </w:p>
    <w:p w14:paraId="7796237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—— 据奥斯卡・汉德林《美国移民史》数据改制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</w:p>
    <w:p w14:paraId="5D40C3D2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46133E6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材料二</w:t>
      </w:r>
    </w:p>
    <w:p w14:paraId="5F8C811C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1921 年美国《移民配额法》规定：“每年允许入境的移民总数不得超过 1910 年人口普查中已居住美国的外籍人口数的 3%，且来自任何一国的移民不得超过该国籍现有在美国人口的 5%。” 该法使西北欧移民配额占比达 85%，南欧东欧移民配额仅 10%。</w:t>
      </w:r>
    </w:p>
    <w:p w14:paraId="4DDBB69B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210B081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材料三</w:t>
      </w:r>
    </w:p>
    <w:p w14:paraId="7171629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1965 年《哈特 — 塞勒移民法》废除种族配额，确立 “优先考虑家庭团聚和职业技能” 的原则，当年亚洲移民占比从 1960 年的 11% 跃升至 1970 年的 36%，拉美移民占比从 25% 升至 42%。</w:t>
      </w:r>
    </w:p>
    <w:p w14:paraId="625621E5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—— 据艾丽斯・凯斯勒 - 哈里斯《美利坚民族：一部全球史》</w:t>
      </w:r>
    </w:p>
    <w:p w14:paraId="1996CAC4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3F3D48A8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（1）根据材料一，概括 19 世纪中后期美国移民结构的变化趋势。（4 分）</w:t>
      </w:r>
    </w:p>
    <w:p w14:paraId="5B8E1FF9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（2）结合材料二、三及所学知识，分析美国移民政策调整的原因。（</w:t>
      </w:r>
      <w:r>
        <w:rPr>
          <w:rFonts w:hint="eastAsia"/>
          <w:szCs w:val="22"/>
          <w:lang w:val="en-US" w:eastAsia="zh-CN"/>
        </w:rPr>
        <w:t>5</w:t>
      </w:r>
      <w:r>
        <w:rPr>
          <w:rFonts w:hint="default"/>
          <w:szCs w:val="22"/>
          <w:lang w:val="en-US" w:eastAsia="zh-CN"/>
        </w:rPr>
        <w:t xml:space="preserve"> 分）</w:t>
      </w:r>
    </w:p>
    <w:p w14:paraId="65F09557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（3）从现代化视角，谈谈移民对美国社会发展的影响。（4 分）</w:t>
      </w:r>
    </w:p>
    <w:p w14:paraId="38F480AB">
      <w:pPr>
        <w:spacing w:line="360" w:lineRule="auto"/>
        <w:jc w:val="left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2820C0FD">
      <w:pPr>
        <w:spacing w:line="360" w:lineRule="auto"/>
        <w:jc w:val="left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1D83FC04">
      <w:pPr>
        <w:spacing w:line="360" w:lineRule="auto"/>
        <w:jc w:val="left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2246156B">
      <w:pPr>
        <w:spacing w:line="360" w:lineRule="auto"/>
        <w:jc w:val="left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7F9632A2">
      <w:pPr>
        <w:spacing w:line="360" w:lineRule="auto"/>
        <w:jc w:val="left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20</w:t>
      </w:r>
      <w:r>
        <w:rPr>
          <w:rFonts w:hint="eastAsia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（12 分）</w:t>
      </w:r>
    </w:p>
    <w:p w14:paraId="34B2DCE7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材料</w:t>
      </w:r>
    </w:p>
    <w:p w14:paraId="6D6D87F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联合国教科文组织对非物质文化遗产的定义：“指被各社区、群体，有时为个人视为其文化遗产组成部分的各种社会实践、观念表述、表现形式、知识、技能及相关的工具、实物、手工艺品和文化场所。”</w:t>
      </w:r>
    </w:p>
    <w:p w14:paraId="648E2BD9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中国部分人类非物质文化遗产及其文化内涵：</w:t>
      </w:r>
    </w:p>
    <w:p w14:paraId="1E54FCC5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722B2648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项目名称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文化内涵关键词</w:t>
      </w:r>
    </w:p>
    <w:p w14:paraId="2BE991FA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中国篆刻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汉字美学、文人精神、礼仪制度</w:t>
      </w:r>
    </w:p>
    <w:p w14:paraId="4CA6D85E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妈祖信俗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海洋文化、民间信仰、社会整合</w:t>
      </w:r>
    </w:p>
    <w:p w14:paraId="5F8E61CC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中国珠算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数学思维、商业传统、技艺传承</w:t>
      </w:r>
    </w:p>
    <w:p w14:paraId="36D8931C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二十四节气</w:t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ab/>
      </w:r>
      <w:r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  <w:t>农耕文明、自然观、历法科学</w:t>
      </w:r>
    </w:p>
    <w:p w14:paraId="2354B801">
      <w:pPr>
        <w:spacing w:line="240" w:lineRule="auto"/>
        <w:ind w:left="0" w:firstLine="0"/>
        <w:textAlignment w:val="center"/>
        <w:rPr>
          <w:rFonts w:hint="default" w:ascii="Times New Roman" w:hAnsi="Times New Roman" w:eastAsia="楷体" w:cs="楷体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2DF5C814">
      <w:pPr>
        <w:spacing w:line="360" w:lineRule="auto"/>
        <w:jc w:val="left"/>
        <w:textAlignment w:val="center"/>
        <w:rPr>
          <w:rFonts w:hint="default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要求：选取两项或两项以上非遗项目，结合 “历史解释” 素养，以 “文明的多元表达” 为主题撰写解说词。（要求：主题明确，史论结合，逻辑清晰，150 字左右）</w:t>
      </w:r>
    </w:p>
    <w:p w14:paraId="41B8EE9E">
      <w:pPr>
        <w:spacing w:line="240" w:lineRule="auto"/>
        <w:ind w:left="0" w:firstLine="0"/>
        <w:textAlignment w:val="center"/>
        <w:rPr>
          <w:rFonts w:hint="default"/>
          <w:b/>
          <w:bCs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A4602"/>
    <w:rsid w:val="08000695"/>
    <w:rsid w:val="0BA8707A"/>
    <w:rsid w:val="31EC7411"/>
    <w:rsid w:val="3AC84793"/>
    <w:rsid w:val="42B42FCC"/>
    <w:rsid w:val="44562E10"/>
    <w:rsid w:val="4D796FAE"/>
    <w:rsid w:val="65E3354A"/>
    <w:rsid w:val="6CD11FBC"/>
    <w:rsid w:val="6D266F73"/>
    <w:rsid w:val="752D29D8"/>
    <w:rsid w:val="75F11D5C"/>
    <w:rsid w:val="7ACA4602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paragraph" w:customStyle="1" w:styleId="8">
    <w:name w:val="试卷-材料题-试题-标题"/>
    <w:basedOn w:val="1"/>
    <w:qFormat/>
    <w:uiPriority w:val="0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4603</Words>
  <Characters>4770</Characters>
  <Lines>0</Lines>
  <Paragraphs>0</Paragraphs>
  <TotalTime>4</TotalTime>
  <ScaleCrop>false</ScaleCrop>
  <LinksUpToDate>false</LinksUpToDate>
  <CharactersWithSpaces>4986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2025-05-19T16:43:00Z</dcterms:created>
  <dc:creator>Administrator</dc:creator>
  <cp:lastModifiedBy>阳光</cp:lastModifiedBy>
  <dcterms:modified xsi:type="dcterms:W3CDTF">2025-05-20T09:38:34Z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C1A06E9476804DA18A379EA44180AEEE_11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