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BA871">
      <w:pPr>
        <w:ind w:firstLine="1928" w:firstLineChars="600"/>
        <w:jc w:val="left"/>
        <w:textAlignment w:val="center"/>
        <w:rPr>
          <w:rFonts w:ascii="宋体" w:hAnsi="宋体" w:eastAsia="宋体" w:cs="宋体"/>
          <w:b/>
          <w:i w:val="0"/>
          <w:color w:val="000000"/>
          <w:sz w:val="32"/>
          <w:szCs w:val="36"/>
        </w:rPr>
      </w:pPr>
      <w:r>
        <w:rPr>
          <w:rFonts w:ascii="宋体" w:hAnsi="宋体" w:eastAsia="宋体" w:cs="宋体"/>
          <w:b/>
          <w:i w:val="0"/>
          <w:color w:val="000000"/>
          <w:sz w:val="32"/>
          <w:szCs w:val="36"/>
        </w:rPr>
        <w:t>高中地理</w:t>
      </w:r>
      <w:r>
        <w:rPr>
          <w:rFonts w:hint="eastAsia" w:ascii="宋体" w:hAnsi="宋体" w:cs="宋体"/>
          <w:b/>
          <w:i w:val="0"/>
          <w:color w:val="000000"/>
          <w:sz w:val="32"/>
          <w:szCs w:val="36"/>
          <w:lang w:val="en-US" w:eastAsia="zh-CN"/>
        </w:rPr>
        <w:t xml:space="preserve">    </w:t>
      </w:r>
      <w:r>
        <w:rPr>
          <w:rFonts w:ascii="宋体" w:hAnsi="宋体" w:eastAsia="宋体" w:cs="宋体"/>
          <w:b/>
          <w:i w:val="0"/>
          <w:color w:val="000000"/>
          <w:sz w:val="32"/>
          <w:szCs w:val="36"/>
        </w:rPr>
        <w:t>参考答案</w:t>
      </w:r>
    </w:p>
    <w:p w14:paraId="7CE5FE1F">
      <w:pPr>
        <w:ind w:firstLine="1265" w:firstLineChars="600"/>
        <w:jc w:val="both"/>
        <w:textAlignment w:val="center"/>
        <w:rPr>
          <w:rFonts w:ascii="宋体" w:hAnsi="宋体" w:eastAsia="宋体" w:cs="宋体"/>
          <w:b/>
          <w:i w:val="0"/>
          <w:color w:val="000000"/>
          <w:sz w:val="21"/>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14:paraId="78BA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4" w:type="pct"/>
            <w:tcMar>
              <w:top w:w="0" w:type="dxa"/>
              <w:bottom w:w="0" w:type="dxa"/>
            </w:tcMar>
            <w:vAlign w:val="center"/>
          </w:tcPr>
          <w:p w14:paraId="400ADBB7">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541B549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w:t>
            </w:r>
          </w:p>
        </w:tc>
        <w:tc>
          <w:tcPr>
            <w:tcW w:w="454" w:type="pct"/>
            <w:tcMar>
              <w:top w:w="0" w:type="dxa"/>
              <w:bottom w:w="0" w:type="dxa"/>
            </w:tcMar>
            <w:vAlign w:val="center"/>
          </w:tcPr>
          <w:p w14:paraId="7908391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w:t>
            </w:r>
          </w:p>
        </w:tc>
        <w:tc>
          <w:tcPr>
            <w:tcW w:w="454" w:type="pct"/>
            <w:tcMar>
              <w:top w:w="0" w:type="dxa"/>
              <w:bottom w:w="0" w:type="dxa"/>
            </w:tcMar>
            <w:vAlign w:val="center"/>
          </w:tcPr>
          <w:p w14:paraId="57FDB0F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w:t>
            </w:r>
          </w:p>
        </w:tc>
        <w:tc>
          <w:tcPr>
            <w:tcW w:w="454" w:type="pct"/>
            <w:tcMar>
              <w:top w:w="0" w:type="dxa"/>
              <w:bottom w:w="0" w:type="dxa"/>
            </w:tcMar>
            <w:vAlign w:val="center"/>
          </w:tcPr>
          <w:p w14:paraId="77A6B1B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4</w:t>
            </w:r>
          </w:p>
        </w:tc>
        <w:tc>
          <w:tcPr>
            <w:tcW w:w="454" w:type="pct"/>
            <w:tcMar>
              <w:top w:w="0" w:type="dxa"/>
              <w:bottom w:w="0" w:type="dxa"/>
            </w:tcMar>
            <w:vAlign w:val="center"/>
          </w:tcPr>
          <w:p w14:paraId="213C362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5</w:t>
            </w:r>
          </w:p>
        </w:tc>
        <w:tc>
          <w:tcPr>
            <w:tcW w:w="454" w:type="pct"/>
            <w:tcMar>
              <w:top w:w="0" w:type="dxa"/>
              <w:bottom w:w="0" w:type="dxa"/>
            </w:tcMar>
            <w:vAlign w:val="center"/>
          </w:tcPr>
          <w:p w14:paraId="6A296A7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6</w:t>
            </w:r>
          </w:p>
        </w:tc>
        <w:tc>
          <w:tcPr>
            <w:tcW w:w="454" w:type="pct"/>
            <w:tcMar>
              <w:top w:w="0" w:type="dxa"/>
              <w:bottom w:w="0" w:type="dxa"/>
            </w:tcMar>
            <w:vAlign w:val="center"/>
          </w:tcPr>
          <w:p w14:paraId="139C681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7</w:t>
            </w:r>
          </w:p>
        </w:tc>
        <w:tc>
          <w:tcPr>
            <w:tcW w:w="454" w:type="pct"/>
            <w:tcMar>
              <w:top w:w="0" w:type="dxa"/>
              <w:bottom w:w="0" w:type="dxa"/>
            </w:tcMar>
            <w:vAlign w:val="center"/>
          </w:tcPr>
          <w:p w14:paraId="6AA3289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8</w:t>
            </w:r>
          </w:p>
        </w:tc>
        <w:tc>
          <w:tcPr>
            <w:tcW w:w="454" w:type="pct"/>
            <w:tcMar>
              <w:top w:w="0" w:type="dxa"/>
              <w:bottom w:w="0" w:type="dxa"/>
            </w:tcMar>
            <w:vAlign w:val="center"/>
          </w:tcPr>
          <w:p w14:paraId="7BA4C3D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9</w:t>
            </w:r>
          </w:p>
        </w:tc>
        <w:tc>
          <w:tcPr>
            <w:tcW w:w="454" w:type="pct"/>
            <w:tcMar>
              <w:top w:w="0" w:type="dxa"/>
              <w:bottom w:w="0" w:type="dxa"/>
            </w:tcMar>
            <w:vAlign w:val="center"/>
          </w:tcPr>
          <w:p w14:paraId="4AFD722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10</w:t>
            </w:r>
          </w:p>
        </w:tc>
      </w:tr>
      <w:tr w14:paraId="7CEB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55C560DB">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70DF8F7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321A375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56D0A48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38D7439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74794EE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6A61FF3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7E43FFA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77BDC6D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28CFFF7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14065A2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r>
      <w:tr w14:paraId="6E84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14066B71">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7A4EA5F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11</w:t>
            </w:r>
          </w:p>
        </w:tc>
        <w:tc>
          <w:tcPr>
            <w:tcW w:w="454" w:type="pct"/>
            <w:tcMar>
              <w:top w:w="0" w:type="dxa"/>
              <w:bottom w:w="0" w:type="dxa"/>
            </w:tcMar>
            <w:vAlign w:val="center"/>
          </w:tcPr>
          <w:p w14:paraId="48D1057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12</w:t>
            </w:r>
          </w:p>
        </w:tc>
        <w:tc>
          <w:tcPr>
            <w:tcW w:w="454" w:type="pct"/>
            <w:tcMar>
              <w:top w:w="0" w:type="dxa"/>
              <w:bottom w:w="0" w:type="dxa"/>
            </w:tcMar>
            <w:vAlign w:val="center"/>
          </w:tcPr>
          <w:p w14:paraId="7A0EB24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13</w:t>
            </w:r>
          </w:p>
        </w:tc>
        <w:tc>
          <w:tcPr>
            <w:tcW w:w="454" w:type="pct"/>
            <w:tcMar>
              <w:top w:w="0" w:type="dxa"/>
              <w:bottom w:w="0" w:type="dxa"/>
            </w:tcMar>
            <w:vAlign w:val="center"/>
          </w:tcPr>
          <w:p w14:paraId="6284F99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14</w:t>
            </w:r>
          </w:p>
        </w:tc>
        <w:tc>
          <w:tcPr>
            <w:tcW w:w="454" w:type="pct"/>
            <w:tcMar>
              <w:top w:w="0" w:type="dxa"/>
              <w:bottom w:w="0" w:type="dxa"/>
            </w:tcMar>
            <w:vAlign w:val="center"/>
          </w:tcPr>
          <w:p w14:paraId="4E8C999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15</w:t>
            </w:r>
          </w:p>
        </w:tc>
        <w:tc>
          <w:tcPr>
            <w:tcW w:w="454" w:type="pct"/>
            <w:tcMar>
              <w:top w:w="0" w:type="dxa"/>
              <w:bottom w:w="0" w:type="dxa"/>
            </w:tcMar>
            <w:vAlign w:val="center"/>
          </w:tcPr>
          <w:p w14:paraId="53070E6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16</w:t>
            </w:r>
          </w:p>
        </w:tc>
        <w:tc>
          <w:tcPr>
            <w:tcW w:w="454" w:type="pct"/>
            <w:tcMar>
              <w:top w:w="0" w:type="dxa"/>
              <w:bottom w:w="0" w:type="dxa"/>
            </w:tcMar>
            <w:vAlign w:val="center"/>
          </w:tcPr>
          <w:p w14:paraId="24D8394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17</w:t>
            </w:r>
          </w:p>
        </w:tc>
        <w:tc>
          <w:tcPr>
            <w:tcW w:w="454" w:type="pct"/>
            <w:tcMar>
              <w:top w:w="0" w:type="dxa"/>
              <w:bottom w:w="0" w:type="dxa"/>
            </w:tcMar>
            <w:vAlign w:val="center"/>
          </w:tcPr>
          <w:p w14:paraId="5607F1B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18</w:t>
            </w:r>
          </w:p>
        </w:tc>
        <w:tc>
          <w:tcPr>
            <w:tcW w:w="454" w:type="pct"/>
            <w:tcMar>
              <w:top w:w="0" w:type="dxa"/>
              <w:bottom w:w="0" w:type="dxa"/>
            </w:tcMar>
            <w:vAlign w:val="center"/>
          </w:tcPr>
          <w:p w14:paraId="7D413E2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19</w:t>
            </w:r>
          </w:p>
        </w:tc>
        <w:tc>
          <w:tcPr>
            <w:tcW w:w="454" w:type="pct"/>
            <w:tcMar>
              <w:top w:w="0" w:type="dxa"/>
              <w:bottom w:w="0" w:type="dxa"/>
            </w:tcMar>
            <w:vAlign w:val="center"/>
          </w:tcPr>
          <w:p w14:paraId="0BC378F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20</w:t>
            </w:r>
          </w:p>
        </w:tc>
      </w:tr>
      <w:tr w14:paraId="0994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60B72C0E">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11B164F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465EEF7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51FA852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1D6C2AA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shd w:val="clear"/>
            <w:tcMar>
              <w:top w:w="0" w:type="dxa"/>
              <w:bottom w:w="0" w:type="dxa"/>
            </w:tcMar>
            <w:vAlign w:val="center"/>
          </w:tcPr>
          <w:p w14:paraId="6C2879DD">
            <w:pPr>
              <w:jc w:val="center"/>
              <w:textAlignment w:val="center"/>
              <w:rPr>
                <w:rFonts w:ascii="宋体" w:hAnsi="宋体" w:eastAsia="宋体" w:cs="宋体"/>
                <w:b w:val="0"/>
                <w:i w:val="0"/>
                <w:color w:val="000000"/>
                <w:kern w:val="2"/>
                <w:sz w:val="21"/>
                <w:szCs w:val="22"/>
                <w:lang w:val="en-US" w:eastAsia="zh-CN" w:bidi="ar-SA"/>
              </w:rPr>
            </w:pPr>
            <w:r>
              <w:rPr>
                <w:rFonts w:ascii="宋体" w:hAnsi="宋体" w:eastAsia="宋体" w:cs="宋体"/>
                <w:b w:val="0"/>
                <w:i w:val="0"/>
                <w:color w:val="000000"/>
                <w:sz w:val="21"/>
              </w:rPr>
              <w:t>D</w:t>
            </w:r>
          </w:p>
        </w:tc>
        <w:tc>
          <w:tcPr>
            <w:tcW w:w="454" w:type="pct"/>
            <w:shd w:val="clear"/>
            <w:tcMar>
              <w:top w:w="0" w:type="dxa"/>
              <w:bottom w:w="0" w:type="dxa"/>
            </w:tcMar>
            <w:vAlign w:val="center"/>
          </w:tcPr>
          <w:p w14:paraId="772DEEC3">
            <w:pPr>
              <w:jc w:val="center"/>
              <w:textAlignment w:val="center"/>
              <w:rPr>
                <w:rFonts w:ascii="宋体" w:hAnsi="宋体" w:eastAsia="宋体" w:cs="宋体"/>
                <w:b w:val="0"/>
                <w:i w:val="0"/>
                <w:color w:val="000000"/>
                <w:kern w:val="2"/>
                <w:sz w:val="21"/>
                <w:szCs w:val="22"/>
                <w:lang w:val="en-US" w:eastAsia="zh-CN" w:bidi="ar-SA"/>
              </w:rPr>
            </w:pPr>
            <w:r>
              <w:rPr>
                <w:rFonts w:ascii="宋体" w:hAnsi="宋体" w:eastAsia="宋体" w:cs="宋体"/>
                <w:b w:val="0"/>
                <w:i w:val="0"/>
                <w:color w:val="000000"/>
                <w:sz w:val="21"/>
              </w:rPr>
              <w:t>B</w:t>
            </w:r>
          </w:p>
        </w:tc>
        <w:tc>
          <w:tcPr>
            <w:tcW w:w="454" w:type="pct"/>
            <w:shd w:val="clear"/>
            <w:tcMar>
              <w:top w:w="0" w:type="dxa"/>
              <w:bottom w:w="0" w:type="dxa"/>
            </w:tcMar>
            <w:vAlign w:val="center"/>
          </w:tcPr>
          <w:p w14:paraId="72AABD3C">
            <w:pPr>
              <w:jc w:val="center"/>
              <w:textAlignment w:val="center"/>
              <w:rPr>
                <w:rFonts w:ascii="宋体" w:hAnsi="宋体" w:eastAsia="宋体" w:cs="宋体"/>
                <w:b w:val="0"/>
                <w:i w:val="0"/>
                <w:color w:val="000000"/>
                <w:kern w:val="2"/>
                <w:sz w:val="21"/>
                <w:szCs w:val="22"/>
                <w:lang w:val="en-US" w:eastAsia="zh-CN" w:bidi="ar-SA"/>
              </w:rPr>
            </w:pPr>
            <w:r>
              <w:rPr>
                <w:rFonts w:ascii="宋体" w:hAnsi="宋体" w:eastAsia="宋体" w:cs="宋体"/>
                <w:b w:val="0"/>
                <w:i w:val="0"/>
                <w:color w:val="000000"/>
                <w:sz w:val="21"/>
              </w:rPr>
              <w:t>C</w:t>
            </w:r>
          </w:p>
        </w:tc>
        <w:tc>
          <w:tcPr>
            <w:tcW w:w="454" w:type="pct"/>
            <w:shd w:val="clear"/>
            <w:tcMar>
              <w:top w:w="0" w:type="dxa"/>
              <w:bottom w:w="0" w:type="dxa"/>
            </w:tcMar>
            <w:vAlign w:val="center"/>
          </w:tcPr>
          <w:p w14:paraId="206A8063">
            <w:pPr>
              <w:jc w:val="center"/>
              <w:textAlignment w:val="center"/>
              <w:rPr>
                <w:rFonts w:ascii="宋体" w:hAnsi="宋体" w:eastAsia="宋体" w:cs="宋体"/>
                <w:b w:val="0"/>
                <w:i w:val="0"/>
                <w:color w:val="000000"/>
                <w:kern w:val="2"/>
                <w:sz w:val="21"/>
                <w:szCs w:val="22"/>
                <w:lang w:val="en-US" w:eastAsia="zh-CN" w:bidi="ar-SA"/>
              </w:rPr>
            </w:pPr>
            <w:r>
              <w:rPr>
                <w:rFonts w:ascii="宋体" w:hAnsi="宋体" w:eastAsia="宋体" w:cs="宋体"/>
                <w:b w:val="0"/>
                <w:i w:val="0"/>
                <w:color w:val="000000"/>
                <w:sz w:val="21"/>
              </w:rPr>
              <w:t>C</w:t>
            </w:r>
          </w:p>
        </w:tc>
        <w:tc>
          <w:tcPr>
            <w:tcW w:w="454" w:type="pct"/>
            <w:shd w:val="clear"/>
            <w:tcMar>
              <w:top w:w="0" w:type="dxa"/>
              <w:bottom w:w="0" w:type="dxa"/>
            </w:tcMar>
            <w:vAlign w:val="center"/>
          </w:tcPr>
          <w:p w14:paraId="22F55499">
            <w:pPr>
              <w:jc w:val="center"/>
              <w:textAlignment w:val="center"/>
              <w:rPr>
                <w:rFonts w:ascii="宋体" w:hAnsi="宋体" w:eastAsia="宋体" w:cs="宋体"/>
                <w:b w:val="0"/>
                <w:i w:val="0"/>
                <w:color w:val="000000"/>
                <w:kern w:val="2"/>
                <w:sz w:val="21"/>
                <w:szCs w:val="22"/>
                <w:lang w:val="en-US" w:eastAsia="zh-CN" w:bidi="ar-SA"/>
              </w:rPr>
            </w:pPr>
            <w:r>
              <w:rPr>
                <w:rFonts w:ascii="宋体" w:hAnsi="宋体" w:eastAsia="宋体" w:cs="宋体"/>
                <w:b w:val="0"/>
                <w:i w:val="0"/>
                <w:color w:val="000000"/>
                <w:sz w:val="21"/>
              </w:rPr>
              <w:t>B</w:t>
            </w:r>
          </w:p>
        </w:tc>
        <w:tc>
          <w:tcPr>
            <w:tcW w:w="454" w:type="pct"/>
            <w:tcMar>
              <w:top w:w="0" w:type="dxa"/>
              <w:bottom w:w="0" w:type="dxa"/>
            </w:tcMar>
            <w:vAlign w:val="center"/>
          </w:tcPr>
          <w:p w14:paraId="2441D7B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r>
      <w:tr w14:paraId="4ED7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043EBC7A">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307DEB2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21</w:t>
            </w:r>
          </w:p>
        </w:tc>
        <w:tc>
          <w:tcPr>
            <w:tcW w:w="454" w:type="pct"/>
            <w:tcMar>
              <w:top w:w="0" w:type="dxa"/>
              <w:bottom w:w="0" w:type="dxa"/>
            </w:tcMar>
            <w:vAlign w:val="center"/>
          </w:tcPr>
          <w:p w14:paraId="51E1C74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22</w:t>
            </w:r>
          </w:p>
        </w:tc>
        <w:tc>
          <w:tcPr>
            <w:tcW w:w="454" w:type="pct"/>
            <w:tcMar>
              <w:top w:w="0" w:type="dxa"/>
              <w:bottom w:w="0" w:type="dxa"/>
            </w:tcMar>
            <w:vAlign w:val="center"/>
          </w:tcPr>
          <w:p w14:paraId="2D35ED7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23</w:t>
            </w:r>
          </w:p>
        </w:tc>
        <w:tc>
          <w:tcPr>
            <w:tcW w:w="454" w:type="pct"/>
            <w:tcMar>
              <w:top w:w="0" w:type="dxa"/>
              <w:bottom w:w="0" w:type="dxa"/>
            </w:tcMar>
            <w:vAlign w:val="center"/>
          </w:tcPr>
          <w:p w14:paraId="0948844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24</w:t>
            </w:r>
          </w:p>
        </w:tc>
        <w:tc>
          <w:tcPr>
            <w:tcW w:w="454" w:type="pct"/>
            <w:tcMar>
              <w:top w:w="0" w:type="dxa"/>
              <w:bottom w:w="0" w:type="dxa"/>
            </w:tcMar>
            <w:vAlign w:val="center"/>
          </w:tcPr>
          <w:p w14:paraId="6007BA9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25</w:t>
            </w:r>
          </w:p>
        </w:tc>
        <w:tc>
          <w:tcPr>
            <w:tcW w:w="454" w:type="pct"/>
            <w:tcMar>
              <w:top w:w="0" w:type="dxa"/>
              <w:bottom w:w="0" w:type="dxa"/>
            </w:tcMar>
            <w:vAlign w:val="center"/>
          </w:tcPr>
          <w:p w14:paraId="07CCFD8F">
            <w:pPr>
              <w:jc w:val="center"/>
              <w:textAlignment w:val="center"/>
              <w:rPr>
                <w:rFonts w:ascii="宋体" w:hAnsi="宋体" w:eastAsia="宋体" w:cs="宋体"/>
                <w:b w:val="0"/>
                <w:i w:val="0"/>
                <w:color w:val="000000"/>
                <w:sz w:val="21"/>
              </w:rPr>
            </w:pPr>
          </w:p>
        </w:tc>
        <w:tc>
          <w:tcPr>
            <w:tcW w:w="454" w:type="pct"/>
            <w:tcMar>
              <w:top w:w="0" w:type="dxa"/>
              <w:bottom w:w="0" w:type="dxa"/>
            </w:tcMar>
            <w:vAlign w:val="center"/>
          </w:tcPr>
          <w:p w14:paraId="52B5C15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577253C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59DD1DD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228C41A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r w14:paraId="552A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52EB1B73">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shd w:val="clear"/>
            <w:tcMar>
              <w:top w:w="0" w:type="dxa"/>
              <w:bottom w:w="0" w:type="dxa"/>
            </w:tcMar>
            <w:vAlign w:val="center"/>
          </w:tcPr>
          <w:p w14:paraId="5F51038B">
            <w:pPr>
              <w:jc w:val="center"/>
              <w:textAlignment w:val="center"/>
              <w:rPr>
                <w:rFonts w:ascii="宋体" w:hAnsi="宋体" w:eastAsia="宋体" w:cs="宋体"/>
                <w:b w:val="0"/>
                <w:i w:val="0"/>
                <w:color w:val="000000"/>
                <w:kern w:val="2"/>
                <w:sz w:val="21"/>
                <w:szCs w:val="22"/>
                <w:lang w:val="en-US" w:eastAsia="zh-CN" w:bidi="ar-SA"/>
              </w:rPr>
            </w:pPr>
            <w:r>
              <w:rPr>
                <w:rFonts w:ascii="宋体" w:hAnsi="宋体" w:eastAsia="宋体" w:cs="宋体"/>
                <w:b w:val="0"/>
                <w:i w:val="0"/>
                <w:color w:val="000000"/>
                <w:sz w:val="21"/>
              </w:rPr>
              <w:t>A</w:t>
            </w:r>
          </w:p>
        </w:tc>
        <w:tc>
          <w:tcPr>
            <w:tcW w:w="454" w:type="pct"/>
            <w:shd w:val="clear"/>
            <w:tcMar>
              <w:top w:w="0" w:type="dxa"/>
              <w:bottom w:w="0" w:type="dxa"/>
            </w:tcMar>
            <w:vAlign w:val="center"/>
          </w:tcPr>
          <w:p w14:paraId="6BDC71B2">
            <w:pPr>
              <w:jc w:val="center"/>
              <w:textAlignment w:val="center"/>
              <w:rPr>
                <w:rFonts w:ascii="宋体" w:hAnsi="宋体" w:eastAsia="宋体" w:cs="宋体"/>
                <w:b w:val="0"/>
                <w:i w:val="0"/>
                <w:color w:val="000000"/>
                <w:kern w:val="2"/>
                <w:sz w:val="21"/>
                <w:szCs w:val="22"/>
                <w:lang w:val="en-US" w:eastAsia="zh-CN" w:bidi="ar-SA"/>
              </w:rPr>
            </w:pPr>
            <w:r>
              <w:rPr>
                <w:rFonts w:ascii="宋体" w:hAnsi="宋体" w:eastAsia="宋体" w:cs="宋体"/>
                <w:b w:val="0"/>
                <w:i w:val="0"/>
                <w:color w:val="000000"/>
                <w:sz w:val="21"/>
              </w:rPr>
              <w:t>D</w:t>
            </w:r>
          </w:p>
        </w:tc>
        <w:tc>
          <w:tcPr>
            <w:tcW w:w="454" w:type="pct"/>
            <w:shd w:val="clear"/>
            <w:tcMar>
              <w:top w:w="0" w:type="dxa"/>
              <w:bottom w:w="0" w:type="dxa"/>
            </w:tcMar>
            <w:vAlign w:val="center"/>
          </w:tcPr>
          <w:p w14:paraId="15CE7A7F">
            <w:pPr>
              <w:jc w:val="center"/>
              <w:textAlignment w:val="center"/>
              <w:rPr>
                <w:rFonts w:ascii="宋体" w:hAnsi="宋体" w:eastAsia="宋体" w:cs="宋体"/>
                <w:b w:val="0"/>
                <w:i w:val="0"/>
                <w:color w:val="000000"/>
                <w:kern w:val="2"/>
                <w:sz w:val="21"/>
                <w:szCs w:val="22"/>
                <w:lang w:val="en-US" w:eastAsia="zh-CN" w:bidi="ar-SA"/>
              </w:rPr>
            </w:pPr>
            <w:r>
              <w:rPr>
                <w:rFonts w:ascii="宋体" w:hAnsi="宋体" w:eastAsia="宋体" w:cs="宋体"/>
                <w:b w:val="0"/>
                <w:i w:val="0"/>
                <w:color w:val="000000"/>
                <w:sz w:val="21"/>
              </w:rPr>
              <w:t>A</w:t>
            </w:r>
          </w:p>
        </w:tc>
        <w:tc>
          <w:tcPr>
            <w:tcW w:w="454" w:type="pct"/>
            <w:shd w:val="clear"/>
            <w:tcMar>
              <w:top w:w="0" w:type="dxa"/>
              <w:bottom w:w="0" w:type="dxa"/>
            </w:tcMar>
            <w:vAlign w:val="center"/>
          </w:tcPr>
          <w:p w14:paraId="6DA5DF9A">
            <w:pPr>
              <w:jc w:val="center"/>
              <w:textAlignment w:val="center"/>
              <w:rPr>
                <w:rFonts w:ascii="宋体" w:hAnsi="宋体" w:eastAsia="宋体" w:cs="宋体"/>
                <w:b w:val="0"/>
                <w:i w:val="0"/>
                <w:color w:val="000000"/>
                <w:kern w:val="2"/>
                <w:sz w:val="21"/>
                <w:szCs w:val="22"/>
                <w:lang w:val="en-US" w:eastAsia="zh-CN" w:bidi="ar-SA"/>
              </w:rPr>
            </w:pPr>
            <w:r>
              <w:rPr>
                <w:rFonts w:ascii="宋体" w:hAnsi="宋体" w:eastAsia="宋体" w:cs="宋体"/>
                <w:b w:val="0"/>
                <w:i w:val="0"/>
                <w:color w:val="000000"/>
                <w:sz w:val="21"/>
              </w:rPr>
              <w:t>A</w:t>
            </w:r>
          </w:p>
        </w:tc>
        <w:tc>
          <w:tcPr>
            <w:tcW w:w="454" w:type="pct"/>
            <w:shd w:val="clear"/>
            <w:tcMar>
              <w:top w:w="0" w:type="dxa"/>
              <w:bottom w:w="0" w:type="dxa"/>
            </w:tcMar>
            <w:vAlign w:val="center"/>
          </w:tcPr>
          <w:p w14:paraId="2F579BBA">
            <w:pPr>
              <w:jc w:val="center"/>
              <w:textAlignment w:val="center"/>
              <w:rPr>
                <w:rFonts w:ascii="宋体" w:hAnsi="宋体" w:eastAsia="宋体" w:cs="宋体"/>
                <w:b w:val="0"/>
                <w:i w:val="0"/>
                <w:color w:val="000000"/>
                <w:kern w:val="2"/>
                <w:sz w:val="21"/>
                <w:szCs w:val="22"/>
                <w:lang w:val="en-US" w:eastAsia="zh-CN" w:bidi="ar-SA"/>
              </w:rPr>
            </w:pPr>
            <w:r>
              <w:rPr>
                <w:rFonts w:ascii="宋体" w:hAnsi="宋体" w:eastAsia="宋体" w:cs="宋体"/>
                <w:b w:val="0"/>
                <w:i w:val="0"/>
                <w:color w:val="000000"/>
                <w:sz w:val="21"/>
              </w:rPr>
              <w:t>D</w:t>
            </w:r>
          </w:p>
        </w:tc>
        <w:tc>
          <w:tcPr>
            <w:tcW w:w="454" w:type="pct"/>
            <w:tcMar>
              <w:top w:w="0" w:type="dxa"/>
              <w:bottom w:w="0" w:type="dxa"/>
            </w:tcMar>
            <w:vAlign w:val="center"/>
          </w:tcPr>
          <w:p w14:paraId="5CCA851C">
            <w:pPr>
              <w:jc w:val="center"/>
              <w:textAlignment w:val="center"/>
              <w:rPr>
                <w:rFonts w:ascii="宋体" w:hAnsi="宋体" w:eastAsia="宋体" w:cs="宋体"/>
                <w:b w:val="0"/>
                <w:i w:val="0"/>
                <w:color w:val="000000"/>
                <w:sz w:val="21"/>
              </w:rPr>
            </w:pPr>
          </w:p>
        </w:tc>
        <w:tc>
          <w:tcPr>
            <w:tcW w:w="454" w:type="pct"/>
            <w:tcMar>
              <w:top w:w="0" w:type="dxa"/>
              <w:bottom w:w="0" w:type="dxa"/>
            </w:tcMar>
            <w:vAlign w:val="center"/>
          </w:tcPr>
          <w:p w14:paraId="2A91A9B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0638AC0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396DB19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497A310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bl>
    <w:p w14:paraId="179B3555">
      <w:pPr>
        <w:jc w:val="center"/>
        <w:textAlignment w:val="center"/>
        <w:rPr>
          <w:rFonts w:ascii="宋体" w:hAnsi="宋体" w:eastAsia="宋体" w:cs="宋体"/>
          <w:b/>
          <w:i w:val="0"/>
          <w:color w:val="000000"/>
          <w:sz w:val="21"/>
        </w:rPr>
      </w:pPr>
    </w:p>
    <w:p w14:paraId="30DA86AE">
      <w:pPr>
        <w:shd w:val="clear" w:color="auto" w:fill="auto"/>
        <w:spacing w:line="360" w:lineRule="auto"/>
        <w:jc w:val="left"/>
        <w:textAlignment w:val="center"/>
        <w:rPr>
          <w:sz w:val="21"/>
        </w:rPr>
      </w:pPr>
      <w:r>
        <w:rPr>
          <w:sz w:val="21"/>
        </w:rPr>
        <w:t>1．C    2．B</w:t>
      </w:r>
    </w:p>
    <w:p w14:paraId="51B84E27">
      <w:pPr>
        <w:shd w:val="clear" w:color="auto" w:fill="auto"/>
        <w:spacing w:line="360" w:lineRule="auto"/>
        <w:jc w:val="left"/>
        <w:textAlignment w:val="center"/>
        <w:rPr>
          <w:sz w:val="21"/>
        </w:rPr>
      </w:pPr>
      <w:r>
        <w:rPr>
          <w:sz w:val="21"/>
        </w:rPr>
        <w:t>【知识点】太阳活动对地球的影响</w:t>
      </w:r>
    </w:p>
    <w:p w14:paraId="6A1C3860">
      <w:pPr>
        <w:shd w:val="clear" w:color="auto" w:fill="auto"/>
        <w:spacing w:line="360" w:lineRule="auto"/>
        <w:jc w:val="left"/>
        <w:textAlignment w:val="center"/>
        <w:rPr>
          <w:sz w:val="21"/>
        </w:rPr>
      </w:pPr>
      <w:r>
        <w:rPr>
          <w:sz w:val="21"/>
        </w:rPr>
        <w:t>【解析】1．根据课本知识可知，太阳活动的周期大约是11年，本次太阳活动在2025年达到极大值，推测下一次太阳活动达到极大值出现在2036年前后，C正确，ABD错误。故选C。</w:t>
      </w:r>
    </w:p>
    <w:p w14:paraId="1AB139C0">
      <w:pPr>
        <w:shd w:val="clear" w:color="auto" w:fill="auto"/>
        <w:spacing w:line="360" w:lineRule="auto"/>
        <w:jc w:val="left"/>
        <w:textAlignment w:val="center"/>
        <w:rPr>
          <w:sz w:val="21"/>
        </w:rPr>
      </w:pPr>
      <w:r>
        <w:rPr>
          <w:sz w:val="21"/>
        </w:rPr>
        <w:t>2．太阳活动强烈对地球环境的影响有：扰动电离层，影响无线电短波通信；产生“磁暴”现象，影响指南针指示方向的准确性；对天气、气候也会产生一定的影响；两极地区的夜空可能会出现极光现象，B正确，D错误；昼夜交替是由于地球自转产生的，与太阳活动无关，A错误；太阳活动强烈时，会影响卫星的正常运行，增加卫星发射和运行的风险，不利于卫星发射，C错误。故选B。</w:t>
      </w:r>
    </w:p>
    <w:p w14:paraId="3B4C1501">
      <w:pPr>
        <w:shd w:val="clear" w:color="auto" w:fill="auto"/>
        <w:spacing w:line="360" w:lineRule="auto"/>
        <w:jc w:val="left"/>
        <w:textAlignment w:val="center"/>
        <w:rPr>
          <w:sz w:val="21"/>
        </w:rPr>
      </w:pPr>
      <w:r>
        <w:rPr>
          <w:sz w:val="21"/>
        </w:rPr>
        <w:t>【点睛】太阳活动主要有黑子、耀斑、日珥和太阳风等。黑子是光球层上的暗黑斑点，耀斑是色球层上的剧烈爆发现象，日珥是色球层向外喷射的火红舌状气体，太阳风是日冕层抛出的高能带电粒子流。太阳活动周期约 11 年，强烈时会干扰地球磁场、电离层，影响通信等。</w:t>
      </w:r>
    </w:p>
    <w:p w14:paraId="2F2EDEDC">
      <w:pPr>
        <w:shd w:val="clear" w:color="auto" w:fill="auto"/>
        <w:spacing w:line="360" w:lineRule="auto"/>
        <w:jc w:val="left"/>
        <w:textAlignment w:val="center"/>
        <w:rPr>
          <w:sz w:val="21"/>
        </w:rPr>
      </w:pPr>
      <w:r>
        <w:rPr>
          <w:sz w:val="21"/>
        </w:rPr>
        <w:t>3．C    4．B</w:t>
      </w:r>
    </w:p>
    <w:p w14:paraId="1C11BAB6">
      <w:pPr>
        <w:shd w:val="clear" w:color="auto" w:fill="auto"/>
        <w:spacing w:line="360" w:lineRule="auto"/>
        <w:jc w:val="left"/>
        <w:textAlignment w:val="center"/>
        <w:rPr>
          <w:sz w:val="21"/>
        </w:rPr>
      </w:pPr>
      <w:r>
        <w:rPr>
          <w:sz w:val="21"/>
        </w:rPr>
        <w:t>【知识点】生物演化规律、地质年代表</w:t>
      </w:r>
    </w:p>
    <w:p w14:paraId="51FCCC15">
      <w:pPr>
        <w:shd w:val="clear" w:color="auto" w:fill="auto"/>
        <w:spacing w:line="360" w:lineRule="auto"/>
        <w:jc w:val="left"/>
        <w:textAlignment w:val="center"/>
        <w:rPr>
          <w:sz w:val="21"/>
        </w:rPr>
      </w:pPr>
      <w:r>
        <w:rPr>
          <w:sz w:val="21"/>
        </w:rPr>
        <w:t>【解析】3．根据题干信息，牙形动物化石发现于距今约2.48亿年的古海洋沉积物中。根据地质年代表，2.48亿年前属于三叠纪。ABD错误，故选C。</w:t>
      </w:r>
    </w:p>
    <w:p w14:paraId="7F8BAA2C">
      <w:pPr>
        <w:shd w:val="clear" w:color="auto" w:fill="auto"/>
        <w:spacing w:line="360" w:lineRule="auto"/>
        <w:jc w:val="left"/>
        <w:textAlignment w:val="center"/>
        <w:rPr>
          <w:sz w:val="21"/>
        </w:rPr>
      </w:pPr>
      <w:r>
        <w:rPr>
          <w:sz w:val="21"/>
        </w:rPr>
        <w:t>4．牙形动物化石发现于距今约2.48亿年的古海洋沉积物中。根据地质年代表，2.48亿年前属于三叠纪。地球经历了多次重大的生物和环境变化，包括动物的演化、气候的变化等。其中，动物由水生向陆生演化是这一时期的重要特征之一，B正确；大气氧气含量并未减少，A错误；自然环境特征不会稳定不变，C错误；裸蕨形成早于裸子植物，D错误；故选B。</w:t>
      </w:r>
    </w:p>
    <w:p w14:paraId="7A343467">
      <w:pPr>
        <w:shd w:val="clear" w:color="auto" w:fill="auto"/>
        <w:spacing w:line="360" w:lineRule="auto"/>
        <w:jc w:val="left"/>
        <w:textAlignment w:val="center"/>
        <w:rPr>
          <w:sz w:val="21"/>
        </w:rPr>
      </w:pPr>
      <w:r>
        <w:rPr>
          <w:sz w:val="21"/>
        </w:rPr>
        <w:t>【点睛】地质年代从古至今依次为：太古代、元古代、古生代、中生代、新生代；古生代又分为：寒武纪、奥陶纪、志留纪、泥盆纪、石炭纪、二叠纪；中生代又分为：三叠纪、侏罗纪、白垩纪；新生代又分为：古近纪、新近纪、第四纪。</w:t>
      </w:r>
    </w:p>
    <w:p w14:paraId="77682FDD">
      <w:pPr>
        <w:shd w:val="clear" w:color="auto" w:fill="auto"/>
        <w:spacing w:line="360" w:lineRule="auto"/>
        <w:jc w:val="left"/>
        <w:textAlignment w:val="center"/>
        <w:rPr>
          <w:sz w:val="21"/>
        </w:rPr>
      </w:pPr>
      <w:r>
        <w:rPr>
          <w:sz w:val="21"/>
        </w:rPr>
        <w:t>5．B    6．D</w:t>
      </w:r>
    </w:p>
    <w:p w14:paraId="1CC25813">
      <w:pPr>
        <w:shd w:val="clear" w:color="auto" w:fill="auto"/>
        <w:spacing w:line="360" w:lineRule="auto"/>
        <w:jc w:val="left"/>
        <w:textAlignment w:val="center"/>
        <w:rPr>
          <w:sz w:val="21"/>
        </w:rPr>
      </w:pPr>
      <w:r>
        <w:rPr>
          <w:sz w:val="21"/>
        </w:rPr>
        <w:t>【知识点】大气的垂直分层</w:t>
      </w:r>
    </w:p>
    <w:p w14:paraId="5EBBE984">
      <w:pPr>
        <w:shd w:val="clear" w:color="auto" w:fill="auto"/>
        <w:spacing w:line="360" w:lineRule="auto"/>
        <w:jc w:val="left"/>
        <w:textAlignment w:val="center"/>
        <w:rPr>
          <w:sz w:val="21"/>
        </w:rPr>
      </w:pPr>
      <w:r>
        <w:rPr>
          <w:sz w:val="21"/>
        </w:rPr>
        <w:t xml:space="preserve">【解析】5．高空探测气球升高过程中，从地面到高空3万米左右高度，先经过对流层后经过平流层，在对流层先随高度增加气温下降，进入平流层后，随高度增加气温增加，B正确，ACD错误。故选B。 </w:t>
      </w:r>
    </w:p>
    <w:p w14:paraId="082DE770">
      <w:pPr>
        <w:shd w:val="clear" w:color="auto" w:fill="auto"/>
        <w:spacing w:line="360" w:lineRule="auto"/>
        <w:jc w:val="left"/>
        <w:textAlignment w:val="center"/>
        <w:rPr>
          <w:sz w:val="21"/>
        </w:rPr>
      </w:pPr>
      <w:r>
        <w:rPr>
          <w:sz w:val="21"/>
        </w:rPr>
        <w:t>6．臭氧吸收紫外线增温主要是在平流层，不在对流层，A错误；地球上大气中的二氧化碳主要集中在对流层，平流层中的二氧化碳含量很少，B错误；云雨雾雪等天气现象是在对流层，而非高层大气，C错误；④属于高层大气，高层大气有电离层，对无线电通信有重要作用，D正确。故选D。</w:t>
      </w:r>
    </w:p>
    <w:p w14:paraId="649FDA21">
      <w:pPr>
        <w:shd w:val="clear" w:color="auto" w:fill="auto"/>
        <w:spacing w:line="360" w:lineRule="auto"/>
        <w:jc w:val="left"/>
        <w:textAlignment w:val="center"/>
        <w:rPr>
          <w:sz w:val="21"/>
        </w:rPr>
      </w:pPr>
      <w:r>
        <w:rPr>
          <w:sz w:val="21"/>
        </w:rPr>
        <w:t>【点睛】大气自下而上分别为对流层、平流层和高层大气。对流层气温随海拔升高而降低，平流层气温随海拔升高而升高。</w:t>
      </w:r>
    </w:p>
    <w:p w14:paraId="111654C1">
      <w:pPr>
        <w:shd w:val="clear" w:color="auto" w:fill="auto"/>
        <w:spacing w:line="360" w:lineRule="auto"/>
        <w:jc w:val="left"/>
        <w:textAlignment w:val="center"/>
        <w:rPr>
          <w:sz w:val="21"/>
        </w:rPr>
      </w:pPr>
      <w:r>
        <w:rPr>
          <w:sz w:val="21"/>
        </w:rPr>
        <w:t>7．C    8．B</w:t>
      </w:r>
    </w:p>
    <w:p w14:paraId="388FBC00">
      <w:pPr>
        <w:shd w:val="clear" w:color="auto" w:fill="auto"/>
        <w:spacing w:line="360" w:lineRule="auto"/>
        <w:jc w:val="left"/>
        <w:textAlignment w:val="center"/>
        <w:rPr>
          <w:sz w:val="21"/>
        </w:rPr>
      </w:pPr>
      <w:r>
        <w:rPr>
          <w:sz w:val="21"/>
        </w:rPr>
        <w:t>【知识点】海水的温度</w:t>
      </w:r>
    </w:p>
    <w:p w14:paraId="2ED59B30">
      <w:pPr>
        <w:shd w:val="clear" w:color="auto" w:fill="auto"/>
        <w:spacing w:line="360" w:lineRule="auto"/>
        <w:jc w:val="left"/>
        <w:textAlignment w:val="center"/>
        <w:rPr>
          <w:sz w:val="21"/>
        </w:rPr>
      </w:pPr>
      <w:r>
        <w:rPr>
          <w:sz w:val="21"/>
        </w:rPr>
        <w:t>【解析】7．根据水温随纬度的升高而降低规律可知，表层水温越高，纬度越低，乙站表层温度最高（约25℃），甲站次之（约22℃），丙站最低（约18℃），符合由低纬向高纬的温度递减规律，故纬度由低纬向高纬依次为乙甲丙，C正确，ABD错误，故选C。</w:t>
      </w:r>
    </w:p>
    <w:p w14:paraId="77BCFEE8">
      <w:pPr>
        <w:shd w:val="clear" w:color="auto" w:fill="auto"/>
        <w:spacing w:line="360" w:lineRule="auto"/>
        <w:jc w:val="left"/>
        <w:textAlignment w:val="center"/>
        <w:rPr>
          <w:sz w:val="21"/>
        </w:rPr>
      </w:pPr>
      <w:r>
        <w:rPr>
          <w:sz w:val="21"/>
        </w:rPr>
        <w:t>8．由图可知，在0-1000米深度区间，温度从约22℃快速降至约5℃，变化显著，B正确，C错误；图示曲线显示温度变化并非匀速，A错误；1000米以下温度基本稳定在2-4℃之间，变化幅度很小，D错误。故选B。</w:t>
      </w:r>
    </w:p>
    <w:p w14:paraId="5B8C47A6">
      <w:pPr>
        <w:shd w:val="clear" w:color="auto" w:fill="auto"/>
        <w:spacing w:line="360" w:lineRule="auto"/>
        <w:jc w:val="left"/>
        <w:textAlignment w:val="center"/>
        <w:rPr>
          <w:sz w:val="21"/>
        </w:rPr>
      </w:pPr>
      <w:r>
        <w:rPr>
          <w:sz w:val="21"/>
        </w:rPr>
        <w:t>【点睛】海洋表层水温一般由低纬度向高纬度递减；夏季水温高，冬季水温低；与同纬度相比，暖流流经海域水温高，寒流流经海域水温低；海水温度随深度加深而降低，在1000米以内变化大，1000米以下变化小。</w:t>
      </w:r>
    </w:p>
    <w:p w14:paraId="60B63DC7">
      <w:pPr>
        <w:shd w:val="clear" w:color="auto" w:fill="auto"/>
        <w:spacing w:line="360" w:lineRule="auto"/>
        <w:jc w:val="left"/>
        <w:textAlignment w:val="center"/>
        <w:rPr>
          <w:sz w:val="21"/>
        </w:rPr>
      </w:pPr>
      <w:r>
        <w:rPr>
          <w:sz w:val="21"/>
        </w:rPr>
        <w:t>9．D    10．B</w:t>
      </w:r>
    </w:p>
    <w:p w14:paraId="2290FB84">
      <w:pPr>
        <w:shd w:val="clear" w:color="auto" w:fill="auto"/>
        <w:spacing w:line="360" w:lineRule="auto"/>
        <w:jc w:val="left"/>
        <w:textAlignment w:val="center"/>
        <w:rPr>
          <w:sz w:val="21"/>
        </w:rPr>
      </w:pPr>
      <w:r>
        <w:rPr>
          <w:sz w:val="21"/>
        </w:rPr>
        <w:t>【知识点】海岸地貌、潮汐</w:t>
      </w:r>
    </w:p>
    <w:p w14:paraId="1753B5A6">
      <w:pPr>
        <w:shd w:val="clear" w:color="auto" w:fill="auto"/>
        <w:spacing w:line="360" w:lineRule="auto"/>
        <w:jc w:val="left"/>
        <w:textAlignment w:val="center"/>
        <w:rPr>
          <w:sz w:val="21"/>
        </w:rPr>
      </w:pPr>
      <w:r>
        <w:rPr>
          <w:sz w:val="21"/>
        </w:rPr>
        <w:t>【解析】9．潮沟主要由潮流往复不断冲刷海滩而形成，这说明潮沟是因海浪侵蚀而形成的，而河漫滩、冲积扇、流动沙丘都是由沉积作用形成，ABC错误；海蚀平台是因海浪侵蚀而形成的，与潮沟形成过程相似，D正确。故选D。</w:t>
      </w:r>
    </w:p>
    <w:p w14:paraId="29930040">
      <w:pPr>
        <w:shd w:val="clear" w:color="auto" w:fill="auto"/>
        <w:spacing w:line="360" w:lineRule="auto"/>
        <w:jc w:val="left"/>
        <w:textAlignment w:val="center"/>
        <w:rPr>
          <w:sz w:val="21"/>
        </w:rPr>
      </w:pPr>
      <w:r>
        <w:rPr>
          <w:sz w:val="21"/>
        </w:rPr>
        <w:t>10．落潮时，潮水回落海面且落差大，流速快，以冲蚀为主，此时潮水在潮滩上冲刷形成了潮流冲沟，即“潮汐树”，且海滩裸露面积越大，即潮位最低时，最有利于观测“潮汐树”景观。图表中6～8时较其他选项时间潮位最低，所以能观测到“潮汐树”景观范围最大，B正确，ACD错误。故选B。</w:t>
      </w:r>
    </w:p>
    <w:p w14:paraId="31393766">
      <w:pPr>
        <w:shd w:val="clear" w:color="auto" w:fill="auto"/>
        <w:spacing w:line="360" w:lineRule="auto"/>
        <w:jc w:val="left"/>
        <w:textAlignment w:val="center"/>
        <w:rPr>
          <w:sz w:val="21"/>
        </w:rPr>
      </w:pPr>
      <w:r>
        <w:rPr>
          <w:sz w:val="21"/>
        </w:rPr>
        <w:t>【点睛】潮汐是沿海地区的一种自然现象，主要是由地球、月亮和太阳之间的引力作用所造成。这种引力作用导致海水在垂直方向上发生周期性的涨落，这种现象通常被称为潮汐。在白天发生的海水涨落称为潮，而在夜间发生的海水涨落则称为汐，两者统称为潮汐。</w:t>
      </w:r>
    </w:p>
    <w:p w14:paraId="3BEF0A34">
      <w:pPr>
        <w:shd w:val="clear" w:color="auto" w:fill="auto"/>
        <w:spacing w:line="360" w:lineRule="auto"/>
        <w:jc w:val="left"/>
        <w:textAlignment w:val="center"/>
        <w:rPr>
          <w:sz w:val="21"/>
        </w:rPr>
      </w:pPr>
      <w:r>
        <w:rPr>
          <w:sz w:val="21"/>
        </w:rPr>
        <w:t>11．A    12．B</w:t>
      </w:r>
    </w:p>
    <w:p w14:paraId="51AEFC48">
      <w:pPr>
        <w:shd w:val="clear" w:color="auto" w:fill="auto"/>
        <w:spacing w:line="360" w:lineRule="auto"/>
        <w:jc w:val="left"/>
        <w:textAlignment w:val="center"/>
        <w:rPr>
          <w:sz w:val="21"/>
        </w:rPr>
      </w:pPr>
      <w:r>
        <w:rPr>
          <w:sz w:val="21"/>
        </w:rPr>
        <w:t>【知识点】土壤剖面、影响土壤形成的因素</w:t>
      </w:r>
    </w:p>
    <w:p w14:paraId="03C132B8">
      <w:pPr>
        <w:shd w:val="clear" w:color="auto" w:fill="auto"/>
        <w:spacing w:line="360" w:lineRule="auto"/>
        <w:jc w:val="left"/>
        <w:textAlignment w:val="center"/>
        <w:rPr>
          <w:sz w:val="21"/>
        </w:rPr>
      </w:pPr>
      <w:r>
        <w:rPr>
          <w:sz w:val="21"/>
        </w:rPr>
        <w:t>【解析】11．读图可知，甲剖面土层薄，分层少，土壤发育差，应该是气候高寒、生物作用微弱的青藏高原，A正确；东南丘陵、内蒙古高原和华北平原土壤发育均较青藏高原更好，土壤的垂直剖面分层更多，BCD错误。故选A。</w:t>
      </w:r>
    </w:p>
    <w:p w14:paraId="4F620397">
      <w:pPr>
        <w:shd w:val="clear" w:color="auto" w:fill="auto"/>
        <w:spacing w:line="360" w:lineRule="auto"/>
        <w:jc w:val="left"/>
        <w:textAlignment w:val="center"/>
        <w:rPr>
          <w:sz w:val="21"/>
        </w:rPr>
      </w:pPr>
      <w:r>
        <w:rPr>
          <w:sz w:val="21"/>
        </w:rPr>
        <w:t>12．乙剖面腐殖质层厚，分层较少，应该是地表植被茂密（草类茂盛），气温较低，微生物分解作用较弱的西北干旱半干旱区，如内蒙古草原。丙剖面分层多，土壤发育程度深，有较厚的淋溶层和淀积层，应该位于气候暖湿，化学风化与生物风化作用强烈的东部季风区。丙剖面所处地区虽植被茂密，但气候湿热，气温高、热量足，微生物作用强烈，故腐殖质层相对较薄，而乙气温较低，生物分解作用相对较弱，腐殖质累积较多，B正确；丰富的降水使得植物生长茂盛，土壤腐殖质来源充足，有利于腐殖质层积累，A错误；地表径流强主要影响土壤的侵蚀和搬运，不是腐殖质层薄的主要原因，C错误；蒸发旺对腐殖质层厚度的影响相对较小，D错误。故选B。</w:t>
      </w:r>
    </w:p>
    <w:p w14:paraId="7837FF44">
      <w:pPr>
        <w:shd w:val="clear" w:color="auto" w:fill="auto"/>
        <w:spacing w:line="360" w:lineRule="auto"/>
        <w:jc w:val="left"/>
        <w:textAlignment w:val="center"/>
        <w:rPr>
          <w:sz w:val="21"/>
        </w:rPr>
      </w:pPr>
      <w:r>
        <w:rPr>
          <w:sz w:val="21"/>
        </w:rPr>
        <w:t>【点睛】土壤的主要形成因素包括成土母质、生物、气候、地貌、时间等。</w:t>
      </w:r>
    </w:p>
    <w:p w14:paraId="1DA02E0D">
      <w:pPr>
        <w:shd w:val="clear" w:color="auto" w:fill="auto"/>
        <w:spacing w:line="360" w:lineRule="auto"/>
        <w:jc w:val="left"/>
        <w:textAlignment w:val="center"/>
        <w:rPr>
          <w:sz w:val="21"/>
        </w:rPr>
      </w:pPr>
      <w:r>
        <w:rPr>
          <w:sz w:val="21"/>
        </w:rPr>
        <w:t>13．A    14．A</w:t>
      </w:r>
    </w:p>
    <w:p w14:paraId="048C7E1C">
      <w:pPr>
        <w:shd w:val="clear" w:color="auto" w:fill="auto"/>
        <w:spacing w:line="360" w:lineRule="auto"/>
        <w:jc w:val="left"/>
        <w:textAlignment w:val="center"/>
        <w:rPr>
          <w:sz w:val="21"/>
        </w:rPr>
      </w:pPr>
      <w:r>
        <w:rPr>
          <w:sz w:val="21"/>
        </w:rPr>
        <w:t>【知识点】外力作用</w:t>
      </w:r>
    </w:p>
    <w:p w14:paraId="0CA17D22">
      <w:pPr>
        <w:shd w:val="clear" w:color="auto" w:fill="auto"/>
        <w:spacing w:line="360" w:lineRule="auto"/>
        <w:jc w:val="left"/>
        <w:textAlignment w:val="center"/>
        <w:rPr>
          <w:sz w:val="21"/>
        </w:rPr>
      </w:pPr>
      <w:r>
        <w:rPr>
          <w:sz w:val="21"/>
        </w:rPr>
        <w:t>【分析】13．《徐霞客游记》记载的“山小而峭，或孤峙，或两或三，连珠骈笋”指的是孤峰或峰丛，属于喀斯特地貌，A正确，B为风蚀蘑菇，属于风蚀地貌，C为冲积扇，属于流水沉积地貌，D为沙丘，属于风力堆积地貌，BCD错误；故选A。</w:t>
      </w:r>
    </w:p>
    <w:p w14:paraId="6AFDA3CA">
      <w:pPr>
        <w:shd w:val="clear" w:color="auto" w:fill="auto"/>
        <w:spacing w:line="360" w:lineRule="auto"/>
        <w:jc w:val="left"/>
        <w:textAlignment w:val="center"/>
        <w:rPr>
          <w:sz w:val="21"/>
        </w:rPr>
      </w:pPr>
      <w:r>
        <w:rPr>
          <w:sz w:val="21"/>
        </w:rPr>
        <w:t>14．游记中地貌景观特点的描述角度，从“山小而峭，或孤峙，或两或三，连珠骈笋”看有地貌形态，从“石骨嶙峋，草木摇殿”看有植被状况，①②符合；地貌颜色、地貌成因并没有在游记中体现，③④不符合；综上A正确，BCD错误；故选A。</w:t>
      </w:r>
    </w:p>
    <w:p w14:paraId="7F0FB724">
      <w:pPr>
        <w:shd w:val="clear" w:color="auto" w:fill="auto"/>
        <w:spacing w:line="360" w:lineRule="auto"/>
        <w:jc w:val="left"/>
        <w:textAlignment w:val="center"/>
        <w:rPr>
          <w:sz w:val="21"/>
        </w:rPr>
      </w:pPr>
      <w:r>
        <w:rPr>
          <w:sz w:val="21"/>
        </w:rPr>
        <w:t>【点睛】喀斯特地貌是喀斯特作用形成的一种独特的地貌类型。喀斯特作用的本质是含有二氧化碳的水对可溶性岩石的溶蚀和淀积作用，岩石的可溶性是喀斯特地貌发育的最基本条件，主要分布在石灰岩广布的湿润地区。</w:t>
      </w:r>
    </w:p>
    <w:p w14:paraId="79646608">
      <w:pPr>
        <w:shd w:val="clear" w:color="auto" w:fill="auto"/>
        <w:spacing w:line="360" w:lineRule="auto"/>
        <w:jc w:val="left"/>
        <w:textAlignment w:val="center"/>
        <w:rPr>
          <w:sz w:val="21"/>
        </w:rPr>
      </w:pPr>
      <w:r>
        <w:rPr>
          <w:sz w:val="21"/>
        </w:rPr>
        <w:t xml:space="preserve">   16．D    17．B</w:t>
      </w:r>
    </w:p>
    <w:p w14:paraId="220C8215">
      <w:pPr>
        <w:shd w:val="clear" w:color="auto" w:fill="auto"/>
        <w:spacing w:line="360" w:lineRule="auto"/>
        <w:jc w:val="left"/>
        <w:textAlignment w:val="center"/>
        <w:rPr>
          <w:sz w:val="21"/>
        </w:rPr>
      </w:pPr>
      <w:r>
        <w:rPr>
          <w:sz w:val="21"/>
        </w:rPr>
        <w:t>【知识点】人口问题及其应对措施</w:t>
      </w:r>
    </w:p>
    <w:p w14:paraId="4F5F79F1">
      <w:pPr>
        <w:shd w:val="clear" w:color="auto" w:fill="auto"/>
        <w:spacing w:line="360" w:lineRule="auto"/>
        <w:jc w:val="left"/>
        <w:textAlignment w:val="center"/>
        <w:rPr>
          <w:sz w:val="21"/>
        </w:rPr>
      </w:pPr>
      <w:r>
        <w:rPr>
          <w:sz w:val="21"/>
        </w:rPr>
        <w:t>【解析】15．2000~2020年我国农业经济并未萎缩，不符合实际情况，①错误；我国政府一直致力于环境建设，人口寿命不断延长，说明老年人体质在不断增强，②错误；生活条件改善，老年人再就业意愿减弱，③正确；受我国产业结构升级影响，低端产业减少，老年人因文化水平偏低，能适应工作岗位要求的人数减少，④正确。故选D。</w:t>
      </w:r>
    </w:p>
    <w:p w14:paraId="5E154B2F">
      <w:pPr>
        <w:shd w:val="clear" w:color="auto" w:fill="auto"/>
        <w:spacing w:line="360" w:lineRule="auto"/>
        <w:jc w:val="left"/>
        <w:textAlignment w:val="center"/>
        <w:rPr>
          <w:sz w:val="21"/>
        </w:rPr>
      </w:pPr>
      <w:r>
        <w:rPr>
          <w:sz w:val="21"/>
        </w:rPr>
        <w:t>16．我国老年人口文化水平整体偏低，为提高其就业率，应发展老年教育，开展老年技能培训，以适应现代就业岗位的需要，同时考虑到不同年龄的文化差距，教育培训还要有针对性开展，B正确，制定相关法律，规定行业老年人就业比例，不是提高老年人就业率的合理措施，A错误；加快劳动密集型产业发展，增加就业机会，但不一定会增加老年人就业率，C错误；完善养老机制，减少老年人后顾之忧，对就业率的影响小，D错误。故选B。</w:t>
      </w:r>
    </w:p>
    <w:p w14:paraId="33E20CA5">
      <w:pPr>
        <w:shd w:val="clear" w:color="auto" w:fill="auto"/>
        <w:spacing w:line="360" w:lineRule="auto"/>
        <w:jc w:val="left"/>
        <w:textAlignment w:val="center"/>
        <w:rPr>
          <w:sz w:val="21"/>
        </w:rPr>
      </w:pPr>
      <w:r>
        <w:rPr>
          <w:sz w:val="21"/>
        </w:rPr>
        <w:t>【点睛】我国应对老龄化的主要战略措施：发展经济，增强经济承受能力；建立和完善老年社会福利保障体系，养老保险、医疗保险、老年社会福利、老年社会救济；建立以社区为中心的老年服务体系；建立和完善老年法规体系；建立有中国特色的安老、养老安全网；适当放宽生育政策；延迟退休年龄。</w:t>
      </w:r>
    </w:p>
    <w:p w14:paraId="470A979A">
      <w:pPr>
        <w:shd w:val="clear" w:color="auto" w:fill="auto"/>
        <w:spacing w:line="360" w:lineRule="auto"/>
        <w:jc w:val="left"/>
        <w:textAlignment w:val="center"/>
        <w:rPr>
          <w:sz w:val="21"/>
        </w:rPr>
      </w:pPr>
      <w:r>
        <w:rPr>
          <w:sz w:val="21"/>
        </w:rPr>
        <w:t>1</w:t>
      </w:r>
      <w:r>
        <w:rPr>
          <w:rFonts w:hint="eastAsia"/>
          <w:sz w:val="21"/>
          <w:lang w:val="en-US" w:eastAsia="zh-CN"/>
        </w:rPr>
        <w:t>7</w:t>
      </w:r>
      <w:r>
        <w:rPr>
          <w:sz w:val="21"/>
        </w:rPr>
        <w:t>．C    1</w:t>
      </w:r>
      <w:r>
        <w:rPr>
          <w:rFonts w:hint="eastAsia"/>
          <w:sz w:val="21"/>
          <w:lang w:val="en-US" w:eastAsia="zh-CN"/>
        </w:rPr>
        <w:t>8</w:t>
      </w:r>
      <w:r>
        <w:rPr>
          <w:sz w:val="21"/>
        </w:rPr>
        <w:t xml:space="preserve">．C    </w:t>
      </w:r>
      <w:r>
        <w:rPr>
          <w:rFonts w:hint="eastAsia"/>
          <w:sz w:val="21"/>
          <w:lang w:val="en-US" w:eastAsia="zh-CN"/>
        </w:rPr>
        <w:t>19</w:t>
      </w:r>
      <w:r>
        <w:rPr>
          <w:sz w:val="21"/>
        </w:rPr>
        <w:t>．B</w:t>
      </w:r>
    </w:p>
    <w:p w14:paraId="25A97717">
      <w:pPr>
        <w:shd w:val="clear" w:color="auto" w:fill="auto"/>
        <w:spacing w:line="360" w:lineRule="auto"/>
        <w:jc w:val="left"/>
        <w:textAlignment w:val="center"/>
        <w:rPr>
          <w:sz w:val="21"/>
        </w:rPr>
      </w:pPr>
      <w:r>
        <w:rPr>
          <w:sz w:val="21"/>
        </w:rPr>
        <w:t>【知识点】农业区位因素的概念及其分类、地理信息技术与数字地球、农业发展对区域的影响</w:t>
      </w:r>
    </w:p>
    <w:p w14:paraId="403F2710">
      <w:pPr>
        <w:shd w:val="clear" w:color="auto" w:fill="auto"/>
        <w:spacing w:line="360" w:lineRule="auto"/>
        <w:jc w:val="left"/>
        <w:textAlignment w:val="center"/>
        <w:rPr>
          <w:sz w:val="21"/>
        </w:rPr>
      </w:pPr>
      <w:r>
        <w:rPr>
          <w:sz w:val="21"/>
        </w:rPr>
        <w:t>【解析】18．大肆砍伐森林会直接导致植被破坏、生物多样性减少、水土流失加剧等问题，破坏生态环境，C正确；砍伐森林与矿产资源减少无直接关联，A错误；短期内农民通过种植经济作物油棕可能增加收入，B错误；酸雨主要与工业废气（如硫氧化物、氮氧化物等酸性气体）排放相关，与砍伐森林无直接联系，D错误。故选C。</w:t>
      </w:r>
    </w:p>
    <w:p w14:paraId="7B1D81B6">
      <w:pPr>
        <w:shd w:val="clear" w:color="auto" w:fill="auto"/>
        <w:spacing w:line="360" w:lineRule="auto"/>
        <w:jc w:val="left"/>
        <w:textAlignment w:val="center"/>
        <w:rPr>
          <w:sz w:val="21"/>
        </w:rPr>
      </w:pPr>
      <w:r>
        <w:rPr>
          <w:sz w:val="21"/>
        </w:rPr>
        <w:t>19．培育耐旱、高产的油棕新品种需要生物技术、遗传改良等科技支持，同时研发过程涉及实验设备、田间试验、人员投入等，需大量资金，③④正确；政策是外部推动因素，不是直接投入的因素，①错误；能源不是培育新品种的核心要素，②错误。综上所述，C正确，ABD错误，故选C。</w:t>
      </w:r>
    </w:p>
    <w:p w14:paraId="4AC558B9">
      <w:pPr>
        <w:shd w:val="clear" w:color="auto" w:fill="auto"/>
        <w:spacing w:line="360" w:lineRule="auto"/>
        <w:jc w:val="left"/>
        <w:textAlignment w:val="center"/>
        <w:rPr>
          <w:sz w:val="21"/>
        </w:rPr>
      </w:pPr>
      <w:r>
        <w:rPr>
          <w:sz w:val="21"/>
        </w:rPr>
        <w:t>20．地理信息系统主要用于数据处理、分析和制图，可将油棕种植区的空间数据（如位置、范围）与属性数据（如产量、分布特征）结合，最终生成专题地图，B正确；遥感用于获取地表影像，A错误；全球卫星导航系统和北斗卫星导航系统主要用于定位和导航，均不直接用于地图制作，CD错误。故选B。</w:t>
      </w:r>
    </w:p>
    <w:p w14:paraId="60A2B9B9">
      <w:pPr>
        <w:shd w:val="clear" w:color="auto" w:fill="auto"/>
        <w:spacing w:line="360" w:lineRule="auto"/>
        <w:jc w:val="left"/>
        <w:textAlignment w:val="center"/>
        <w:rPr>
          <w:sz w:val="21"/>
        </w:rPr>
      </w:pPr>
      <w:r>
        <w:rPr>
          <w:sz w:val="21"/>
        </w:rPr>
        <w:t>【点睛】地理信息技术的主要功能如下：（1）RS：地理信息的获取；（2）GIS：能对地理空间数据进行输入、管理、分析和表达；（3）GNSS：能为各类用户提供精密的三维坐标、速度和时间。</w:t>
      </w:r>
    </w:p>
    <w:p w14:paraId="44C3AB9F">
      <w:pPr>
        <w:shd w:val="clear" w:color="auto" w:fill="auto"/>
        <w:spacing w:line="360" w:lineRule="auto"/>
        <w:jc w:val="left"/>
        <w:textAlignment w:val="center"/>
        <w:rPr>
          <w:sz w:val="21"/>
        </w:rPr>
      </w:pPr>
      <w:r>
        <w:rPr>
          <w:sz w:val="21"/>
        </w:rPr>
        <w:t>2</w:t>
      </w:r>
      <w:r>
        <w:rPr>
          <w:rFonts w:hint="eastAsia"/>
          <w:sz w:val="21"/>
          <w:lang w:val="en-US" w:eastAsia="zh-CN"/>
        </w:rPr>
        <w:t>0</w:t>
      </w:r>
      <w:r>
        <w:rPr>
          <w:sz w:val="21"/>
        </w:rPr>
        <w:t>．B    2</w:t>
      </w:r>
      <w:r>
        <w:rPr>
          <w:rFonts w:hint="eastAsia"/>
          <w:sz w:val="21"/>
          <w:lang w:val="en-US" w:eastAsia="zh-CN"/>
        </w:rPr>
        <w:t>1</w:t>
      </w:r>
      <w:r>
        <w:rPr>
          <w:sz w:val="21"/>
        </w:rPr>
        <w:t>．A</w:t>
      </w:r>
    </w:p>
    <w:p w14:paraId="405ED5C1">
      <w:pPr>
        <w:shd w:val="clear" w:color="auto" w:fill="auto"/>
        <w:spacing w:line="360" w:lineRule="auto"/>
        <w:jc w:val="left"/>
        <w:textAlignment w:val="center"/>
        <w:rPr>
          <w:sz w:val="21"/>
        </w:rPr>
      </w:pPr>
      <w:r>
        <w:rPr>
          <w:sz w:val="21"/>
        </w:rPr>
        <w:t>【知识点】影响人口迁移的因素、交通运输布局对区域经济发展的影响</w:t>
      </w:r>
    </w:p>
    <w:p w14:paraId="1B140D0F">
      <w:pPr>
        <w:shd w:val="clear" w:color="auto" w:fill="auto"/>
        <w:spacing w:line="360" w:lineRule="auto"/>
        <w:jc w:val="left"/>
        <w:textAlignment w:val="center"/>
        <w:rPr>
          <w:sz w:val="21"/>
        </w:rPr>
      </w:pPr>
      <w:r>
        <w:rPr>
          <w:sz w:val="21"/>
        </w:rPr>
        <w:t>【解析】21．高速公路运输速度快、运量较大，运输效益高，高速公路建成后，有利于降低城市外围区域运输成本，B正确；高速公路建成后，城市外围沿线交通可达性提高，周边人流、物流、信息流等生产要素流动和交换加快，刺激土地价格上升，A错误；旅游空间与旅游资源分布特征密切相关，不会因高速公路修建而扩大，C错误；便利的交通会刺激物流业发展，仓储空间扩大，D错误。故选B。</w:t>
      </w:r>
    </w:p>
    <w:p w14:paraId="59F0254E">
      <w:pPr>
        <w:shd w:val="clear" w:color="auto" w:fill="auto"/>
        <w:spacing w:line="360" w:lineRule="auto"/>
        <w:jc w:val="left"/>
        <w:textAlignment w:val="center"/>
        <w:rPr>
          <w:sz w:val="21"/>
        </w:rPr>
      </w:pPr>
      <w:r>
        <w:rPr>
          <w:sz w:val="21"/>
        </w:rPr>
        <w:t>22．由图可知高速公路促使各类要素集聚，导致外围区与主城区人口发生变化，从而形成多中心空间结构。高速公路影响城市多中心结构形成过程中，会促进生产企业和相关服务配套设施向外围区扩散集聚，进而导致主城区部分人口流向外围区，外围区人口迁入加剧，主城区人口比重降低，外围区人口比重提高，A正确，CD错误；主城区人口容量短期内并未发生改变，不会因高速公路修建而降低，B错误。故选A。</w:t>
      </w:r>
    </w:p>
    <w:p w14:paraId="64BDFD66">
      <w:pPr>
        <w:shd w:val="clear" w:color="auto" w:fill="auto"/>
        <w:spacing w:line="360" w:lineRule="auto"/>
        <w:jc w:val="left"/>
        <w:textAlignment w:val="center"/>
        <w:rPr>
          <w:sz w:val="21"/>
        </w:rPr>
      </w:pPr>
      <w:r>
        <w:rPr>
          <w:sz w:val="21"/>
        </w:rPr>
        <w:t>【点睛】在城市土地开发利用的过程中，人口和产业在空间上集聚，形成不同性质的功能区，主要有居住区、工业区、商业区、市政与公共服务区、交通与仓储区、生态功能区以及其他功能区等。这些功能区的布局与组合，就形成了城市的空间结构。</w:t>
      </w:r>
    </w:p>
    <w:p w14:paraId="07FE0226">
      <w:pPr>
        <w:shd w:val="clear" w:color="auto" w:fill="auto"/>
        <w:spacing w:line="360" w:lineRule="auto"/>
        <w:jc w:val="left"/>
        <w:textAlignment w:val="center"/>
        <w:rPr>
          <w:sz w:val="21"/>
        </w:rPr>
      </w:pPr>
      <w:r>
        <w:rPr>
          <w:sz w:val="21"/>
        </w:rPr>
        <w:t>2</w:t>
      </w:r>
      <w:r>
        <w:rPr>
          <w:rFonts w:hint="eastAsia"/>
          <w:sz w:val="21"/>
          <w:lang w:val="en-US" w:eastAsia="zh-CN"/>
        </w:rPr>
        <w:t>2</w:t>
      </w:r>
      <w:r>
        <w:rPr>
          <w:sz w:val="21"/>
        </w:rPr>
        <w:t>．D    2</w:t>
      </w:r>
      <w:r>
        <w:rPr>
          <w:rFonts w:hint="eastAsia"/>
          <w:sz w:val="21"/>
          <w:lang w:val="en-US" w:eastAsia="zh-CN"/>
        </w:rPr>
        <w:t>3</w:t>
      </w:r>
      <w:r>
        <w:rPr>
          <w:sz w:val="21"/>
        </w:rPr>
        <w:t>．A</w:t>
      </w:r>
    </w:p>
    <w:p w14:paraId="1955250A">
      <w:pPr>
        <w:shd w:val="clear" w:color="auto" w:fill="auto"/>
        <w:spacing w:line="360" w:lineRule="auto"/>
        <w:jc w:val="left"/>
        <w:textAlignment w:val="center"/>
        <w:rPr>
          <w:sz w:val="21"/>
        </w:rPr>
      </w:pPr>
      <w:r>
        <w:rPr>
          <w:sz w:val="21"/>
        </w:rPr>
        <w:t>【知识点】海洋权益</w:t>
      </w:r>
    </w:p>
    <w:p w14:paraId="0FE2162B">
      <w:pPr>
        <w:shd w:val="clear" w:color="auto" w:fill="auto"/>
        <w:spacing w:line="360" w:lineRule="auto"/>
        <w:jc w:val="left"/>
        <w:textAlignment w:val="center"/>
        <w:rPr>
          <w:sz w:val="21"/>
        </w:rPr>
      </w:pPr>
      <w:r>
        <w:rPr>
          <w:sz w:val="21"/>
        </w:rPr>
        <w:t>【解析】23．根据题干描述，“国信1号”在离岸50～100海里的深海洁净水域进行养殖。内水是基线向陆一侧的水域（如港口、海湾），范围通常不超过12海里。 领海是基线向外12海里，属于国家主权范围。 毗连区是领海基线向外24海里，国家可行使部分管制权（如海关、卫生）。 专属经济区是领海基线向外200海里，国家享有资源勘探和开发的主权权利。 50～100海里（约92.6～185.2公里）显然超出了领海（12海里）和毗连区（24海里），但仍在专属经济区（200海里）范围内。综上所述，D正确，ABC错误，故选D。</w:t>
      </w:r>
    </w:p>
    <w:p w14:paraId="4120314D">
      <w:pPr>
        <w:shd w:val="clear" w:color="auto" w:fill="auto"/>
        <w:spacing w:line="360" w:lineRule="auto"/>
        <w:jc w:val="left"/>
        <w:textAlignment w:val="center"/>
        <w:rPr>
          <w:sz w:val="21"/>
        </w:rPr>
      </w:pPr>
      <w:r>
        <w:rPr>
          <w:sz w:val="21"/>
        </w:rPr>
        <w:t>24．“游弋式船载舱养”模式的核心是通过移动工船（空间利用）实现不同海域的养殖，其本质是对海洋空间的动态利用，而非直接开发生物、化学或能源资源。综上所述，A正确，BCD错误，故选A。</w:t>
      </w:r>
    </w:p>
    <w:p w14:paraId="5B0D3A93">
      <w:pPr>
        <w:shd w:val="clear" w:color="auto" w:fill="auto"/>
        <w:spacing w:line="360" w:lineRule="auto"/>
        <w:jc w:val="left"/>
        <w:textAlignment w:val="center"/>
        <w:rPr>
          <w:sz w:val="21"/>
        </w:rPr>
      </w:pPr>
      <w:r>
        <w:rPr>
          <w:sz w:val="21"/>
        </w:rPr>
        <w:t>【点睛】海洋空间资源是指与海洋开发利用有关的海岸、海上、海中和海底的地理区域的总称。将海面、海中和海底空间用作交通、生产、储藏、军事、居住和娱乐场所的资源。包括海运、海岸工程、海洋工程、临海工业场地、海上机场、海流仓库、重要基地、海上运动、旅游、休闲娱乐等。</w:t>
      </w:r>
    </w:p>
    <w:p w14:paraId="5B4B326E">
      <w:pPr>
        <w:shd w:val="clear" w:color="auto" w:fill="auto"/>
        <w:spacing w:line="360" w:lineRule="auto"/>
        <w:jc w:val="left"/>
        <w:textAlignment w:val="center"/>
        <w:rPr>
          <w:sz w:val="21"/>
        </w:rPr>
      </w:pPr>
      <w:r>
        <w:rPr>
          <w:sz w:val="21"/>
        </w:rPr>
        <w:t>2</w:t>
      </w:r>
      <w:r>
        <w:rPr>
          <w:rFonts w:hint="eastAsia"/>
          <w:sz w:val="21"/>
          <w:lang w:val="en-US" w:eastAsia="zh-CN"/>
        </w:rPr>
        <w:t>4</w:t>
      </w:r>
      <w:r>
        <w:rPr>
          <w:sz w:val="21"/>
        </w:rPr>
        <w:t>．A    2</w:t>
      </w:r>
      <w:r>
        <w:rPr>
          <w:rFonts w:hint="eastAsia"/>
          <w:sz w:val="21"/>
          <w:lang w:val="en-US" w:eastAsia="zh-CN"/>
        </w:rPr>
        <w:t>5</w:t>
      </w:r>
      <w:r>
        <w:rPr>
          <w:sz w:val="21"/>
        </w:rPr>
        <w:t>．D</w:t>
      </w:r>
    </w:p>
    <w:p w14:paraId="573BAA4C">
      <w:pPr>
        <w:shd w:val="clear" w:color="auto" w:fill="auto"/>
        <w:spacing w:line="360" w:lineRule="auto"/>
        <w:jc w:val="left"/>
        <w:textAlignment w:val="center"/>
        <w:rPr>
          <w:sz w:val="21"/>
        </w:rPr>
      </w:pPr>
      <w:r>
        <w:rPr>
          <w:sz w:val="21"/>
        </w:rPr>
        <w:t>【知识点】全球气候变暖的影响、可持续发展的原则</w:t>
      </w:r>
    </w:p>
    <w:p w14:paraId="033EBC8F">
      <w:pPr>
        <w:shd w:val="clear" w:color="auto" w:fill="auto"/>
        <w:spacing w:line="360" w:lineRule="auto"/>
        <w:jc w:val="left"/>
        <w:textAlignment w:val="center"/>
        <w:rPr>
          <w:sz w:val="21"/>
        </w:rPr>
      </w:pPr>
      <w:r>
        <w:rPr>
          <w:sz w:val="21"/>
        </w:rPr>
        <w:t>【解析】25．全球化石能源（煤、石油、天然气等）的大量使用会排放大量二氧化碳等温室气体，木材的砍伐会减少绿色植物对二氧化碳的吸收，这些都会导致全球气候变暖。全球气候变暖会使冰川融化，海平面上升，而小岛国联盟成员多为小岛屿国家和沿海低地国家，海平面上升会严重威胁这些国家的生存空间，所以他们十分关注化石能源及木材年产量报表，担忧全球气候变暖，A正确。臭氧层破坏主要是由于氟利昂等物质的排放，与化石能源和木材年产量关系不大，B错误。资源短缺不是小岛国联盟最担忧的问题，他们最担忧的是因相关活动导致的对其生存空间有直接威胁的问题，C错误。环境污染涵盖面广，题干重点强调的是与化石能源和木材相关活动引发的对小岛国生存有重大影响的全球气候变暖问题，并非一般意义的环境污染，D错误。故选A。</w:t>
      </w:r>
    </w:p>
    <w:p w14:paraId="083FA0CD">
      <w:pPr>
        <w:shd w:val="clear" w:color="auto" w:fill="auto"/>
        <w:spacing w:line="360" w:lineRule="auto"/>
        <w:jc w:val="left"/>
        <w:textAlignment w:val="center"/>
        <w:rPr>
          <w:sz w:val="21"/>
        </w:rPr>
      </w:pPr>
      <w:r>
        <w:rPr>
          <w:sz w:val="21"/>
        </w:rPr>
        <w:t>26．可持续发展是既满足当代人的需求，又不损害后代人满足其需求的能力的发展，题干强调各国共同应对环境问题，并非直接体现可持续发展的内涵，A错误。公平性原则包括同代人之间、代际之间、人类与其他生物种群之间、不同国家与地区之间的公平。题干未突出公平方面的内容，B错误。可持续发展中并没有 “发展性原则” 这一说法，C错误。地球是一个整体，地区性问题往往会转化为全球性问题，这就要求地方的决策和行动应该有助于实现全球整体的协调。全球环境问题是全球性的，世界各国积极参与应对，体现了各国共同承担责任，解决全球性环境问题，符合共同性原则，D正确。故选D。</w:t>
      </w:r>
    </w:p>
    <w:p w14:paraId="4BB6AD49">
      <w:pPr>
        <w:shd w:val="clear" w:color="auto" w:fill="auto"/>
        <w:spacing w:line="360" w:lineRule="auto"/>
        <w:jc w:val="left"/>
        <w:textAlignment w:val="center"/>
        <w:rPr>
          <w:sz w:val="21"/>
        </w:rPr>
      </w:pPr>
      <w:r>
        <w:rPr>
          <w:sz w:val="21"/>
        </w:rPr>
        <w:t>【点睛】全球变暖所带来的一系列影响：①对海平面和海岸带的影响②对水循环的影响： a 旱涝灾害的频次和强度增加。 b加剧水资源的不稳定性与供需矛盾。③对生态系统的影响：物种减少。④对农业的影响：高纬度地区受益，中低纬度地区受损。⑤对人类影响：危害人体健康。</w:t>
      </w:r>
    </w:p>
    <w:p w14:paraId="2918A1C8">
      <w:pPr>
        <w:numPr>
          <w:numId w:val="0"/>
        </w:numPr>
        <w:shd w:val="clear" w:color="auto" w:fill="auto"/>
        <w:spacing w:line="360" w:lineRule="auto"/>
        <w:jc w:val="left"/>
        <w:textAlignment w:val="center"/>
        <w:rPr>
          <w:rFonts w:hint="eastAsia"/>
          <w:sz w:val="21"/>
          <w:lang w:val="en-US" w:eastAsia="zh-CN"/>
        </w:rPr>
      </w:pPr>
      <w:r>
        <w:rPr>
          <w:rFonts w:hint="eastAsia"/>
          <w:sz w:val="21"/>
          <w:lang w:val="en-US" w:eastAsia="zh-CN"/>
        </w:rPr>
        <w:t>二、非选择题（50分）</w:t>
      </w:r>
    </w:p>
    <w:p w14:paraId="3E51CD37">
      <w:pPr>
        <w:numPr>
          <w:numId w:val="0"/>
        </w:numPr>
        <w:shd w:val="clear" w:color="auto" w:fill="auto"/>
        <w:spacing w:line="360" w:lineRule="auto"/>
        <w:jc w:val="left"/>
        <w:textAlignment w:val="center"/>
        <w:rPr>
          <w:rFonts w:hint="eastAsia"/>
          <w:sz w:val="21"/>
          <w:lang w:val="en-US" w:eastAsia="zh-CN"/>
        </w:rPr>
      </w:pPr>
      <w:r>
        <w:rPr>
          <w:rFonts w:hint="eastAsia"/>
          <w:sz w:val="21"/>
          <w:lang w:val="en-US" w:eastAsia="zh-CN"/>
        </w:rPr>
        <w:t xml:space="preserve">26. </w:t>
      </w:r>
    </w:p>
    <w:p w14:paraId="762D85F3">
      <w:pPr>
        <w:numPr>
          <w:numId w:val="0"/>
        </w:numPr>
        <w:shd w:val="clear" w:color="auto" w:fill="auto"/>
        <w:spacing w:line="360" w:lineRule="auto"/>
        <w:jc w:val="left"/>
        <w:textAlignment w:val="center"/>
        <w:rPr>
          <w:rFonts w:hint="default" w:ascii="Times New Roman" w:hAnsi="Times New Roman" w:eastAsia="宋体" w:cs="Times New Roman"/>
          <w:kern w:val="2"/>
          <w:sz w:val="21"/>
          <w:szCs w:val="22"/>
          <w:lang w:val="en-US" w:eastAsia="zh-CN" w:bidi="ar-SA"/>
        </w:rPr>
      </w:pPr>
      <w:r>
        <w:rPr>
          <w:rFonts w:hint="eastAsia"/>
          <w:sz w:val="21"/>
          <w:lang w:val="en-US" w:eastAsia="zh-CN"/>
        </w:rPr>
        <w:t>（1）综合性    区域性   人地协调观  综合思维   区域认知 （每个空格为1分，共5分）</w:t>
      </w:r>
    </w:p>
    <w:p w14:paraId="506EFC8E">
      <w:pPr>
        <w:numPr>
          <w:numId w:val="0"/>
        </w:numPr>
        <w:shd w:val="clear" w:color="auto" w:fill="auto"/>
        <w:spacing w:line="360" w:lineRule="auto"/>
        <w:jc w:val="left"/>
        <w:textAlignment w:val="center"/>
        <w:rPr>
          <w:rFonts w:hint="default" w:ascii="Times New Roman" w:hAnsi="Times New Roman" w:eastAsia="宋体" w:cs="Times New Roman"/>
          <w:kern w:val="2"/>
          <w:sz w:val="21"/>
          <w:szCs w:val="22"/>
          <w:lang w:val="en-US" w:eastAsia="zh-CN" w:bidi="ar-SA"/>
        </w:rPr>
      </w:pPr>
      <w:r>
        <w:rPr>
          <w:rFonts w:hint="eastAsia" w:cs="Times New Roman"/>
          <w:kern w:val="2"/>
          <w:sz w:val="21"/>
          <w:szCs w:val="22"/>
          <w:lang w:val="en-US" w:eastAsia="zh-CN" w:bidi="ar-SA"/>
        </w:rPr>
        <w:t>（2）</w:t>
      </w:r>
      <w:r>
        <w:rPr>
          <w:rFonts w:ascii="Times New Roman" w:hAnsi="Times New Roman" w:eastAsia="宋体" w:cs="Times New Roman"/>
          <w:kern w:val="2"/>
          <w:sz w:val="21"/>
          <w:szCs w:val="22"/>
          <w:lang w:val="en-US" w:eastAsia="zh-CN" w:bidi="ar-SA"/>
        </w:rPr>
        <w:t>例如，怎样认识青田县的气候特征？青田县丰富的溪水资源从何而来？稻田养鱼对水稻生产有什么好处？青田县人们长期以来的生产和生活方式是怎样的？这里积淀了怎样的地域文化？为什么今天的青田县稻田养鱼处于濒危状态？青田县的农业生产怎样才能持续发展下去呢？从可持续发展视角</w:t>
      </w:r>
      <w:r>
        <w:rPr>
          <w:rFonts w:hint="eastAsia" w:cs="Times New Roman"/>
          <w:kern w:val="2"/>
          <w:sz w:val="21"/>
          <w:szCs w:val="22"/>
          <w:lang w:val="en-US" w:eastAsia="zh-CN" w:bidi="ar-SA"/>
        </w:rPr>
        <w:t>分析</w:t>
      </w:r>
      <w:r>
        <w:rPr>
          <w:rFonts w:ascii="Times New Roman" w:hAnsi="Times New Roman" w:eastAsia="宋体" w:cs="Times New Roman"/>
          <w:kern w:val="2"/>
          <w:sz w:val="21"/>
          <w:szCs w:val="22"/>
          <w:lang w:val="en-US" w:eastAsia="zh-CN" w:bidi="ar-SA"/>
        </w:rPr>
        <w:t xml:space="preserve">浙江青田县稻田养鱼的文化价值。 </w:t>
      </w:r>
      <w:r>
        <w:rPr>
          <w:rFonts w:hint="eastAsia" w:cs="Times New Roman"/>
          <w:kern w:val="2"/>
          <w:sz w:val="21"/>
          <w:szCs w:val="22"/>
          <w:lang w:val="en-US" w:eastAsia="zh-CN" w:bidi="ar-SA"/>
        </w:rPr>
        <w:t>（结合以上举例问题，紧扣主题，问题设计合理并4道题以及上即可给满分，总分5分）</w:t>
      </w:r>
    </w:p>
    <w:p w14:paraId="793782F8">
      <w:pPr>
        <w:numPr>
          <w:numId w:val="0"/>
        </w:numPr>
        <w:shd w:val="clear" w:color="auto" w:fill="auto"/>
        <w:spacing w:line="360" w:lineRule="auto"/>
        <w:jc w:val="left"/>
        <w:textAlignment w:val="center"/>
        <w:rPr>
          <w:rFonts w:hint="default"/>
          <w:sz w:val="21"/>
          <w:lang w:val="en-US" w:eastAsia="zh-CN"/>
        </w:rPr>
      </w:pPr>
    </w:p>
    <w:p w14:paraId="04F4D9AE">
      <w:pPr>
        <w:numPr>
          <w:ilvl w:val="0"/>
          <w:numId w:val="0"/>
        </w:numPr>
        <w:shd w:val="clear" w:color="auto" w:fill="auto"/>
        <w:spacing w:line="360" w:lineRule="auto"/>
        <w:jc w:val="left"/>
        <w:textAlignment w:val="center"/>
        <w:rPr>
          <w:sz w:val="21"/>
        </w:rPr>
      </w:pPr>
      <w:r>
        <w:rPr>
          <w:sz w:val="21"/>
        </w:rPr>
        <w:t>27．</w:t>
      </w:r>
      <w:r>
        <w:rPr>
          <w:rFonts w:hint="eastAsia"/>
          <w:sz w:val="21"/>
          <w:lang w:eastAsia="zh-CN"/>
        </w:rPr>
        <w:t>（</w:t>
      </w:r>
      <w:r>
        <w:rPr>
          <w:rFonts w:hint="eastAsia"/>
          <w:sz w:val="21"/>
          <w:lang w:val="en-US" w:eastAsia="zh-CN"/>
        </w:rPr>
        <w:t>每个空格为1分，共8分）</w:t>
      </w:r>
    </w:p>
    <w:p w14:paraId="23CDCA56">
      <w:pPr>
        <w:shd w:val="clear" w:color="auto" w:fill="auto"/>
        <w:spacing w:line="360" w:lineRule="auto"/>
        <w:jc w:val="left"/>
        <w:textAlignment w:val="center"/>
        <w:rPr>
          <w:sz w:val="21"/>
        </w:rPr>
      </w:pPr>
      <w:r>
        <w:rPr>
          <w:sz w:val="21"/>
        </w:rPr>
        <w:t>(1)     横波     乙</w:t>
      </w:r>
    </w:p>
    <w:p w14:paraId="4454DF33">
      <w:pPr>
        <w:shd w:val="clear" w:color="auto" w:fill="auto"/>
        <w:spacing w:line="360" w:lineRule="auto"/>
        <w:jc w:val="left"/>
        <w:textAlignment w:val="center"/>
        <w:rPr>
          <w:sz w:val="21"/>
        </w:rPr>
      </w:pPr>
      <w:r>
        <w:rPr>
          <w:sz w:val="21"/>
        </w:rPr>
        <w:t>(2)     地壳     地幔     岩石圈     固态</w:t>
      </w:r>
    </w:p>
    <w:p w14:paraId="184CCDAA">
      <w:pPr>
        <w:shd w:val="clear" w:color="auto" w:fill="auto"/>
        <w:spacing w:line="360" w:lineRule="auto"/>
        <w:jc w:val="left"/>
        <w:textAlignment w:val="center"/>
        <w:rPr>
          <w:sz w:val="21"/>
        </w:rPr>
      </w:pPr>
      <w:r>
        <w:rPr>
          <w:sz w:val="21"/>
        </w:rPr>
        <w:t>(3)     水     生物</w:t>
      </w:r>
    </w:p>
    <w:p w14:paraId="061E6DCE">
      <w:pPr>
        <w:shd w:val="clear" w:color="auto" w:fill="auto"/>
        <w:spacing w:line="360" w:lineRule="auto"/>
        <w:jc w:val="left"/>
        <w:textAlignment w:val="center"/>
        <w:rPr>
          <w:sz w:val="21"/>
        </w:rPr>
      </w:pPr>
      <w:r>
        <w:rPr>
          <w:sz w:val="21"/>
        </w:rPr>
        <w:t>【知识点】岩石圈的组成、地球内部圈层的划分及各层主要特征、地震波分类及其传播特征、地球的外部圈层结构及相互关系</w:t>
      </w:r>
    </w:p>
    <w:p w14:paraId="3ADB1679">
      <w:pPr>
        <w:shd w:val="clear" w:color="auto" w:fill="auto"/>
        <w:spacing w:line="360" w:lineRule="auto"/>
        <w:jc w:val="left"/>
        <w:textAlignment w:val="center"/>
        <w:rPr>
          <w:sz w:val="21"/>
        </w:rPr>
      </w:pPr>
      <w:r>
        <w:rPr>
          <w:sz w:val="21"/>
        </w:rPr>
        <w:t>【分析】本大题以地球的圈层结构为材料设置试题，涉及地球内部圈层的划分，外部圈层的特点相关知识点，考查获取和解读信息的能力，培养区域认知、综合思维等学科素养。</w:t>
      </w:r>
    </w:p>
    <w:p w14:paraId="3C9213DD">
      <w:pPr>
        <w:shd w:val="clear" w:color="auto" w:fill="auto"/>
        <w:spacing w:line="360" w:lineRule="auto"/>
        <w:jc w:val="left"/>
        <w:textAlignment w:val="center"/>
        <w:rPr>
          <w:sz w:val="21"/>
        </w:rPr>
      </w:pPr>
      <w:r>
        <w:rPr>
          <w:sz w:val="21"/>
        </w:rPr>
        <w:t>【详解】（1）地震波有两种：纵波和横波，特点纵波波速较快，能通过固体、液体、气体；横波波速慢，只能通过固体。横波在古登堡界面以下消失，所以甲为横波，先到达地面的是纵波乙。</w:t>
      </w:r>
    </w:p>
    <w:p w14:paraId="5672EB39">
      <w:pPr>
        <w:shd w:val="clear" w:color="auto" w:fill="auto"/>
        <w:spacing w:line="360" w:lineRule="auto"/>
        <w:jc w:val="left"/>
        <w:textAlignment w:val="center"/>
        <w:rPr>
          <w:sz w:val="21"/>
        </w:rPr>
      </w:pPr>
      <w:r>
        <w:rPr>
          <w:sz w:val="21"/>
        </w:rPr>
        <w:t>（2）据图判断，地震发生在莫霍界面以上，所以是地壳，软流层深度在80-400km，应该属于地幔；软流层以上的上地幔的顶部直至地表合称为岩石圈；依据乙波的变化推测，乙为纵波，在内核如此高温高压下，最可能为固态。</w:t>
      </w:r>
    </w:p>
    <w:p w14:paraId="2491BAEB">
      <w:pPr>
        <w:shd w:val="clear" w:color="auto" w:fill="auto"/>
        <w:spacing w:line="360" w:lineRule="auto"/>
        <w:jc w:val="left"/>
        <w:textAlignment w:val="center"/>
        <w:rPr>
          <w:sz w:val="21"/>
        </w:rPr>
      </w:pPr>
      <w:r>
        <w:rPr>
          <w:sz w:val="21"/>
        </w:rPr>
        <w:t>（3）地球外部圈层大气圈、水圈、生物圈与岩石圈之间相互联系，相互渗透，其中生物圈是最活跃的圈层。</w:t>
      </w:r>
    </w:p>
    <w:p w14:paraId="315A98B2">
      <w:pPr>
        <w:shd w:val="clear" w:color="auto" w:fill="auto"/>
        <w:spacing w:line="360" w:lineRule="auto"/>
        <w:jc w:val="left"/>
        <w:textAlignment w:val="center"/>
        <w:rPr>
          <w:sz w:val="21"/>
        </w:rPr>
      </w:pPr>
      <w:r>
        <w:rPr>
          <w:sz w:val="21"/>
        </w:rPr>
        <w:t>【点睛】岩石圈比地壳厚，岩石圈为软流层之上的所有部分，包括上地幔的顶部和地壳。</w:t>
      </w:r>
    </w:p>
    <w:p w14:paraId="2FF9D0D6">
      <w:pPr>
        <w:numPr>
          <w:numId w:val="0"/>
        </w:numPr>
        <w:shd w:val="clear" w:color="auto" w:fill="auto"/>
        <w:spacing w:line="360" w:lineRule="auto"/>
        <w:jc w:val="left"/>
        <w:textAlignment w:val="center"/>
        <w:rPr>
          <w:sz w:val="21"/>
        </w:rPr>
      </w:pPr>
      <w:r>
        <w:rPr>
          <w:rFonts w:hint="eastAsia"/>
          <w:sz w:val="21"/>
          <w:lang w:val="en-US" w:eastAsia="zh-CN"/>
        </w:rPr>
        <w:t>28.</w:t>
      </w:r>
      <w:r>
        <w:rPr>
          <w:sz w:val="21"/>
        </w:rPr>
        <w:t xml:space="preserve">    </w:t>
      </w:r>
      <w:r>
        <w:rPr>
          <w:rFonts w:hint="eastAsia"/>
          <w:sz w:val="21"/>
          <w:lang w:eastAsia="zh-CN"/>
        </w:rPr>
        <w:t>（</w:t>
      </w:r>
      <w:r>
        <w:rPr>
          <w:rFonts w:hint="eastAsia"/>
          <w:sz w:val="21"/>
          <w:lang w:val="en-US" w:eastAsia="zh-CN"/>
        </w:rPr>
        <w:t>每个空格为1分，共7分）</w:t>
      </w:r>
    </w:p>
    <w:p w14:paraId="0B4FF16E">
      <w:pPr>
        <w:numPr>
          <w:numId w:val="0"/>
        </w:numPr>
        <w:shd w:val="clear" w:color="auto" w:fill="auto"/>
        <w:spacing w:line="360" w:lineRule="auto"/>
        <w:jc w:val="left"/>
        <w:textAlignment w:val="center"/>
        <w:rPr>
          <w:sz w:val="21"/>
        </w:rPr>
      </w:pPr>
      <w:r>
        <w:rPr>
          <w:sz w:val="21"/>
        </w:rPr>
        <w:t>亚洲高压（或蒙古-西伯利亚高压）     高压脊     海陆热力差异     冬季     寒冷干燥     西南风     ②</w:t>
      </w:r>
    </w:p>
    <w:p w14:paraId="4FCD1E2A">
      <w:pPr>
        <w:shd w:val="clear" w:color="auto" w:fill="auto"/>
        <w:spacing w:line="360" w:lineRule="auto"/>
        <w:jc w:val="left"/>
        <w:textAlignment w:val="center"/>
        <w:rPr>
          <w:sz w:val="21"/>
        </w:rPr>
      </w:pPr>
      <w:r>
        <w:rPr>
          <w:sz w:val="21"/>
        </w:rPr>
        <w:t>【知识点】海陆分布对气压带和风带的影响、水平气压梯度力与风的形成</w:t>
      </w:r>
    </w:p>
    <w:p w14:paraId="51E3FCF4">
      <w:pPr>
        <w:shd w:val="clear" w:color="auto" w:fill="auto"/>
        <w:spacing w:line="360" w:lineRule="auto"/>
        <w:jc w:val="left"/>
        <w:textAlignment w:val="center"/>
        <w:rPr>
          <w:sz w:val="21"/>
        </w:rPr>
      </w:pPr>
      <w:r>
        <w:rPr>
          <w:sz w:val="21"/>
        </w:rPr>
        <w:t>【分析】考查常见天气系统，等压线图的判读。</w:t>
      </w:r>
    </w:p>
    <w:p w14:paraId="5B2C0085">
      <w:pPr>
        <w:shd w:val="clear" w:color="auto" w:fill="auto"/>
        <w:spacing w:line="360" w:lineRule="auto"/>
        <w:jc w:val="left"/>
        <w:textAlignment w:val="center"/>
        <w:rPr>
          <w:sz w:val="21"/>
        </w:rPr>
      </w:pPr>
      <w:r>
        <w:rPr>
          <w:sz w:val="21"/>
        </w:rPr>
        <w:t>【详解】（1）图中甲地气压活动中心名称为亚洲高压，或蒙古-西伯利亚高压；图中虚线延伸出的狭长区域是从高气压中心延伸出的，叫高压脊；此季节甲、乙两地气压差异的形成是受海陆热力性质差异的影响。</w:t>
      </w:r>
    </w:p>
    <w:p w14:paraId="714D7654">
      <w:pPr>
        <w:shd w:val="clear" w:color="auto" w:fill="auto"/>
        <w:spacing w:line="360" w:lineRule="auto"/>
        <w:jc w:val="left"/>
        <w:textAlignment w:val="center"/>
        <w:rPr>
          <w:sz w:val="21"/>
        </w:rPr>
      </w:pPr>
      <w:r>
        <w:rPr>
          <w:sz w:val="21"/>
        </w:rPr>
        <w:t>（2）该图所示时期北半球陆地是高压控制，为北半球的冬季；此时，我国北方大部分地区的气候特征是寒冷干燥。图中②处位于气旋南部，北半球气旋的气流方向是逆时针辐合，低压南部的风向为西南风；①、②两处风力较强劲的是②，等压线密集，水平气压梯度力大。</w:t>
      </w:r>
    </w:p>
    <w:p w14:paraId="4995497D">
      <w:pPr>
        <w:shd w:val="clear" w:color="auto" w:fill="auto"/>
        <w:spacing w:line="360" w:lineRule="auto"/>
        <w:jc w:val="left"/>
        <w:textAlignment w:val="center"/>
        <w:rPr>
          <w:sz w:val="21"/>
        </w:rPr>
      </w:pPr>
      <w:r>
        <w:rPr>
          <w:sz w:val="21"/>
        </w:rPr>
        <w:t>29．</w:t>
      </w:r>
      <w:r>
        <w:rPr>
          <w:rFonts w:hint="eastAsia"/>
          <w:sz w:val="21"/>
          <w:lang w:eastAsia="zh-CN"/>
        </w:rPr>
        <w:t>（</w:t>
      </w:r>
      <w:r>
        <w:rPr>
          <w:rFonts w:hint="eastAsia"/>
          <w:sz w:val="21"/>
          <w:lang w:val="en-US" w:eastAsia="zh-CN"/>
        </w:rPr>
        <w:t>每个空格为1分，选择题2分，第四小问的分析部分2分，共10分）</w:t>
      </w:r>
    </w:p>
    <w:p w14:paraId="3930B289">
      <w:pPr>
        <w:shd w:val="clear" w:color="auto" w:fill="auto"/>
        <w:spacing w:line="360" w:lineRule="auto"/>
        <w:jc w:val="left"/>
        <w:textAlignment w:val="center"/>
        <w:rPr>
          <w:sz w:val="21"/>
        </w:rPr>
      </w:pPr>
      <w:r>
        <w:rPr>
          <w:sz w:val="21"/>
        </w:rPr>
        <w:t>(1)     商业区     住宅区     工业区</w:t>
      </w:r>
    </w:p>
    <w:p w14:paraId="6EC3478A">
      <w:pPr>
        <w:shd w:val="clear" w:color="auto" w:fill="auto"/>
        <w:spacing w:line="360" w:lineRule="auto"/>
        <w:jc w:val="left"/>
        <w:textAlignment w:val="center"/>
        <w:rPr>
          <w:sz w:val="21"/>
        </w:rPr>
      </w:pPr>
      <w:r>
        <w:rPr>
          <w:sz w:val="21"/>
        </w:rPr>
        <w:t>(2)     ①     地势较高，位于河流上游，风景优美</w:t>
      </w:r>
    </w:p>
    <w:p w14:paraId="70F3BB07">
      <w:pPr>
        <w:shd w:val="clear" w:color="auto" w:fill="auto"/>
        <w:spacing w:line="360" w:lineRule="auto"/>
        <w:jc w:val="left"/>
        <w:textAlignment w:val="center"/>
        <w:rPr>
          <w:sz w:val="21"/>
        </w:rPr>
      </w:pPr>
      <w:r>
        <w:rPr>
          <w:sz w:val="21"/>
        </w:rPr>
        <w:t>(3)C</w:t>
      </w:r>
    </w:p>
    <w:p w14:paraId="018CFD15">
      <w:pPr>
        <w:shd w:val="clear" w:color="auto" w:fill="auto"/>
        <w:spacing w:line="360" w:lineRule="auto"/>
        <w:jc w:val="left"/>
        <w:textAlignment w:val="center"/>
        <w:rPr>
          <w:sz w:val="21"/>
        </w:rPr>
      </w:pPr>
      <w:r>
        <w:rPr>
          <w:sz w:val="21"/>
        </w:rPr>
        <w:t>(4)     ③     位于工业区和主城区之间，减少工业区污染物对主城区的影响。</w:t>
      </w:r>
    </w:p>
    <w:p w14:paraId="0623F7D6">
      <w:pPr>
        <w:shd w:val="clear" w:color="auto" w:fill="auto"/>
        <w:spacing w:line="360" w:lineRule="auto"/>
        <w:jc w:val="left"/>
        <w:textAlignment w:val="center"/>
        <w:rPr>
          <w:sz w:val="21"/>
        </w:rPr>
      </w:pPr>
      <w:r>
        <w:rPr>
          <w:sz w:val="21"/>
        </w:rPr>
        <w:t>【知识点】城市规划的一般原则、城市中各功能区的分布和特征</w:t>
      </w:r>
    </w:p>
    <w:p w14:paraId="744DB2F0">
      <w:pPr>
        <w:shd w:val="clear" w:color="auto" w:fill="auto"/>
        <w:spacing w:line="360" w:lineRule="auto"/>
        <w:jc w:val="left"/>
        <w:textAlignment w:val="center"/>
        <w:rPr>
          <w:sz w:val="21"/>
        </w:rPr>
      </w:pPr>
      <w:r>
        <w:rPr>
          <w:sz w:val="21"/>
        </w:rPr>
        <w:t>【分析】本题以某城市主要功能区分布示意图为材料，涉及城市内部空间结构的相关知识，考查学生获取和解读地理信息、调动和运用地理知识、描述和阐释地理事物的能力，体现了区域认知、综合思维以及地理实践力的地理学科核心素养。</w:t>
      </w:r>
    </w:p>
    <w:p w14:paraId="5AE75CFB">
      <w:pPr>
        <w:shd w:val="clear" w:color="auto" w:fill="auto"/>
        <w:spacing w:line="360" w:lineRule="auto"/>
        <w:jc w:val="left"/>
        <w:textAlignment w:val="center"/>
        <w:rPr>
          <w:sz w:val="21"/>
        </w:rPr>
      </w:pPr>
      <w:r>
        <w:rPr>
          <w:sz w:val="21"/>
        </w:rPr>
        <w:t>【详解】（1）甲位于市中心，交通便利，人口流量大，功能区是商业区；乙在商业区的外围，占地面积大，功能区是住宅区；丙位于城市的外围，沿交通线分布，功能区是工业区。</w:t>
      </w:r>
    </w:p>
    <w:p w14:paraId="1D910540">
      <w:pPr>
        <w:shd w:val="clear" w:color="auto" w:fill="auto"/>
        <w:spacing w:line="360" w:lineRule="auto"/>
        <w:jc w:val="left"/>
        <w:textAlignment w:val="center"/>
        <w:rPr>
          <w:sz w:val="21"/>
        </w:rPr>
      </w:pPr>
      <w:r>
        <w:rPr>
          <w:sz w:val="21"/>
        </w:rPr>
        <w:t>（2）①处适宜规划建设高级住宅区：地势较高，位于河流上游，位于风景区，环境优美。④地位于河流下游，且在工业区附近，环境较差；且附近有铁路，噪声污染严重，不适宜建设高级住宅区。</w:t>
      </w:r>
    </w:p>
    <w:p w14:paraId="395B5BDD">
      <w:pPr>
        <w:shd w:val="clear" w:color="auto" w:fill="auto"/>
        <w:spacing w:line="360" w:lineRule="auto"/>
        <w:jc w:val="left"/>
        <w:textAlignment w:val="center"/>
        <w:rPr>
          <w:sz w:val="21"/>
        </w:rPr>
      </w:pPr>
      <w:r>
        <w:rPr>
          <w:sz w:val="21"/>
        </w:rPr>
        <w:t>（3）工业区应布局在主导风的下风向。工业区在图中位于东南方向且位置合理，说明城市的主导风不可能是东南风，C正确，ABD错误。故选C。</w:t>
      </w:r>
    </w:p>
    <w:p w14:paraId="39323615">
      <w:pPr>
        <w:shd w:val="clear" w:color="auto" w:fill="auto"/>
        <w:spacing w:line="360" w:lineRule="auto"/>
        <w:jc w:val="left"/>
        <w:textAlignment w:val="center"/>
        <w:rPr>
          <w:sz w:val="21"/>
        </w:rPr>
      </w:pPr>
      <w:r>
        <w:rPr>
          <w:sz w:val="21"/>
        </w:rPr>
        <w:t>（4）③处介于城市主城区与工业区之间，在该地建设绿化带，能够减少工业区污染物进入主城区的机会，减少对主城区的影响。</w:t>
      </w:r>
    </w:p>
    <w:p w14:paraId="6BE7BA6A">
      <w:pPr>
        <w:shd w:val="clear" w:color="auto" w:fill="auto"/>
        <w:spacing w:line="360" w:lineRule="auto"/>
        <w:jc w:val="left"/>
        <w:textAlignment w:val="center"/>
        <w:rPr>
          <w:sz w:val="21"/>
        </w:rPr>
      </w:pPr>
      <w:r>
        <w:rPr>
          <w:sz w:val="21"/>
        </w:rPr>
        <w:t>30．</w:t>
      </w:r>
      <w:r>
        <w:rPr>
          <w:rFonts w:hint="eastAsia"/>
          <w:sz w:val="21"/>
          <w:lang w:eastAsia="zh-CN"/>
        </w:rPr>
        <w:t>（</w:t>
      </w:r>
      <w:r>
        <w:rPr>
          <w:rFonts w:hint="eastAsia"/>
          <w:sz w:val="21"/>
          <w:lang w:val="en-US" w:eastAsia="zh-CN"/>
        </w:rPr>
        <w:t>15分）</w:t>
      </w:r>
    </w:p>
    <w:p w14:paraId="1707F307">
      <w:pPr>
        <w:shd w:val="clear" w:color="auto" w:fill="auto"/>
        <w:spacing w:line="360" w:lineRule="auto"/>
        <w:jc w:val="left"/>
        <w:textAlignment w:val="center"/>
        <w:rPr>
          <w:sz w:val="21"/>
        </w:rPr>
      </w:pPr>
      <w:r>
        <w:rPr>
          <w:sz w:val="21"/>
        </w:rPr>
        <w:t>(1)该模式用较低成本快速获取市场信息，便于公司快速应对市场变化</w:t>
      </w:r>
      <w:r>
        <w:rPr>
          <w:rFonts w:hint="eastAsia"/>
          <w:sz w:val="21"/>
          <w:lang w:eastAsia="zh-CN"/>
        </w:rPr>
        <w:t>（</w:t>
      </w:r>
      <w:r>
        <w:rPr>
          <w:rFonts w:hint="eastAsia"/>
          <w:sz w:val="21"/>
          <w:lang w:val="en-US" w:eastAsia="zh-CN"/>
        </w:rPr>
        <w:t>2分）</w:t>
      </w:r>
      <w:r>
        <w:rPr>
          <w:sz w:val="21"/>
        </w:rPr>
        <w:t>；对“爆款”进行快速返单，能够减轻服装库存压力、快速投放欧美市场</w:t>
      </w:r>
      <w:r>
        <w:rPr>
          <w:rFonts w:hint="eastAsia"/>
          <w:sz w:val="21"/>
          <w:lang w:eastAsia="zh-CN"/>
        </w:rPr>
        <w:t>（</w:t>
      </w:r>
      <w:r>
        <w:rPr>
          <w:rFonts w:hint="eastAsia"/>
          <w:sz w:val="21"/>
          <w:lang w:val="en-US" w:eastAsia="zh-CN"/>
        </w:rPr>
        <w:t>2分）</w:t>
      </w:r>
      <w:r>
        <w:rPr>
          <w:sz w:val="21"/>
        </w:rPr>
        <w:t>；大规模生产“爆款”，可以降低服装生产成本，使产品在国际市场具有价格优势</w:t>
      </w:r>
      <w:r>
        <w:rPr>
          <w:rFonts w:hint="eastAsia"/>
          <w:sz w:val="21"/>
          <w:lang w:eastAsia="zh-CN"/>
        </w:rPr>
        <w:t>（</w:t>
      </w:r>
      <w:r>
        <w:rPr>
          <w:rFonts w:hint="eastAsia"/>
          <w:sz w:val="21"/>
          <w:lang w:val="en-US" w:eastAsia="zh-CN"/>
        </w:rPr>
        <w:t>2分）</w:t>
      </w:r>
      <w:r>
        <w:rPr>
          <w:sz w:val="21"/>
        </w:rPr>
        <w:t>。</w:t>
      </w:r>
      <w:r>
        <w:rPr>
          <w:rFonts w:hint="eastAsia"/>
          <w:sz w:val="21"/>
          <w:lang w:eastAsia="zh-CN"/>
        </w:rPr>
        <w:t>（</w:t>
      </w:r>
      <w:r>
        <w:rPr>
          <w:rFonts w:hint="eastAsia"/>
          <w:sz w:val="21"/>
          <w:lang w:val="en-US" w:eastAsia="zh-CN"/>
        </w:rPr>
        <w:t>任答2点即给满分4分）</w:t>
      </w:r>
    </w:p>
    <w:p w14:paraId="075940B0">
      <w:pPr>
        <w:shd w:val="clear" w:color="auto" w:fill="auto"/>
        <w:spacing w:line="360" w:lineRule="auto"/>
        <w:jc w:val="left"/>
        <w:textAlignment w:val="center"/>
        <w:rPr>
          <w:sz w:val="21"/>
        </w:rPr>
      </w:pPr>
      <w:r>
        <w:rPr>
          <w:sz w:val="21"/>
        </w:rPr>
        <w:t>(2)广州服装产业知名度高</w:t>
      </w:r>
      <w:r>
        <w:rPr>
          <w:rFonts w:hint="eastAsia"/>
          <w:sz w:val="21"/>
          <w:lang w:eastAsia="zh-CN"/>
        </w:rPr>
        <w:t>（</w:t>
      </w:r>
      <w:r>
        <w:rPr>
          <w:rFonts w:hint="eastAsia"/>
          <w:sz w:val="21"/>
          <w:lang w:val="en-US" w:eastAsia="zh-CN"/>
        </w:rPr>
        <w:t>2分）</w:t>
      </w:r>
      <w:r>
        <w:rPr>
          <w:sz w:val="21"/>
        </w:rPr>
        <w:t>；番禺区物流产业发达，原料及产品运输便利</w:t>
      </w:r>
      <w:r>
        <w:rPr>
          <w:rFonts w:hint="eastAsia"/>
          <w:sz w:val="21"/>
          <w:lang w:eastAsia="zh-CN"/>
        </w:rPr>
        <w:t>（</w:t>
      </w:r>
      <w:r>
        <w:rPr>
          <w:rFonts w:hint="eastAsia"/>
          <w:sz w:val="21"/>
          <w:lang w:val="en-US" w:eastAsia="zh-CN"/>
        </w:rPr>
        <w:t>2分）</w:t>
      </w:r>
      <w:r>
        <w:rPr>
          <w:sz w:val="21"/>
        </w:rPr>
        <w:t>；服装生产企业数量多，服装产业链完善，能够满足快速大批量生产的需求</w:t>
      </w:r>
      <w:r>
        <w:rPr>
          <w:rFonts w:hint="eastAsia"/>
          <w:sz w:val="21"/>
          <w:lang w:eastAsia="zh-CN"/>
        </w:rPr>
        <w:t>（</w:t>
      </w:r>
      <w:r>
        <w:rPr>
          <w:rFonts w:hint="eastAsia"/>
          <w:sz w:val="21"/>
          <w:lang w:val="en-US" w:eastAsia="zh-CN"/>
        </w:rPr>
        <w:t>2分）</w:t>
      </w:r>
      <w:r>
        <w:rPr>
          <w:sz w:val="21"/>
        </w:rPr>
        <w:t>；位于我国东南沿海地区，靠近机场及港口，便于产品出口</w:t>
      </w:r>
      <w:r>
        <w:rPr>
          <w:rFonts w:hint="eastAsia"/>
          <w:sz w:val="21"/>
          <w:lang w:eastAsia="zh-CN"/>
        </w:rPr>
        <w:t>（</w:t>
      </w:r>
      <w:r>
        <w:rPr>
          <w:rFonts w:hint="eastAsia"/>
          <w:sz w:val="21"/>
          <w:lang w:val="en-US" w:eastAsia="zh-CN"/>
        </w:rPr>
        <w:t>2分）</w:t>
      </w:r>
      <w:r>
        <w:rPr>
          <w:sz w:val="21"/>
        </w:rPr>
        <w:t>。</w:t>
      </w:r>
      <w:r>
        <w:rPr>
          <w:rFonts w:hint="eastAsia"/>
          <w:sz w:val="21"/>
          <w:lang w:eastAsia="zh-CN"/>
        </w:rPr>
        <w:t>（</w:t>
      </w:r>
      <w:r>
        <w:rPr>
          <w:rFonts w:hint="eastAsia"/>
          <w:sz w:val="21"/>
          <w:lang w:val="en-US" w:eastAsia="zh-CN"/>
        </w:rPr>
        <w:t>任答3点即给满分6分）</w:t>
      </w:r>
    </w:p>
    <w:p w14:paraId="7EFB6A14">
      <w:pPr>
        <w:shd w:val="clear" w:color="auto" w:fill="auto"/>
        <w:spacing w:line="360" w:lineRule="auto"/>
        <w:jc w:val="left"/>
        <w:textAlignment w:val="center"/>
        <w:rPr>
          <w:sz w:val="21"/>
        </w:rPr>
      </w:pPr>
      <w:r>
        <w:rPr>
          <w:sz w:val="21"/>
        </w:rPr>
        <w:t>(3)可行</w:t>
      </w:r>
      <w:r>
        <w:rPr>
          <w:rFonts w:hint="eastAsia"/>
          <w:sz w:val="21"/>
          <w:lang w:eastAsia="zh-CN"/>
        </w:rPr>
        <w:t>（</w:t>
      </w:r>
      <w:r>
        <w:rPr>
          <w:rFonts w:hint="eastAsia"/>
          <w:sz w:val="21"/>
          <w:lang w:val="en-US" w:eastAsia="zh-CN"/>
        </w:rPr>
        <w:t>1分）</w:t>
      </w:r>
      <w:r>
        <w:rPr>
          <w:sz w:val="21"/>
        </w:rPr>
        <w:t>。理由：广东佛山家居产业的技术水平、创新能力较高，能够快速进行产品设计并小批量投入生产</w:t>
      </w:r>
      <w:r>
        <w:rPr>
          <w:rFonts w:hint="eastAsia"/>
          <w:sz w:val="21"/>
          <w:lang w:eastAsia="zh-CN"/>
        </w:rPr>
        <w:t>（</w:t>
      </w:r>
      <w:r>
        <w:rPr>
          <w:rFonts w:hint="eastAsia"/>
          <w:sz w:val="21"/>
          <w:lang w:val="en-US" w:eastAsia="zh-CN"/>
        </w:rPr>
        <w:t>2分）</w:t>
      </w:r>
      <w:r>
        <w:rPr>
          <w:sz w:val="21"/>
        </w:rPr>
        <w:t>；近年来，“直播+电商”及“预售”模式兴起，为家居产业快速获取市场信息提供了数据支持</w:t>
      </w:r>
      <w:r>
        <w:rPr>
          <w:rFonts w:hint="eastAsia"/>
          <w:sz w:val="21"/>
          <w:lang w:eastAsia="zh-CN"/>
        </w:rPr>
        <w:t>（</w:t>
      </w:r>
      <w:r>
        <w:rPr>
          <w:rFonts w:hint="eastAsia"/>
          <w:sz w:val="21"/>
          <w:lang w:val="en-US" w:eastAsia="zh-CN"/>
        </w:rPr>
        <w:t>2分）</w:t>
      </w:r>
      <w:r>
        <w:rPr>
          <w:sz w:val="21"/>
        </w:rPr>
        <w:t>；广东佛山家居产业呈集群化发展特点，能够快速对“爆款”进行批量生产。</w:t>
      </w:r>
      <w:r>
        <w:rPr>
          <w:rFonts w:hint="eastAsia"/>
          <w:sz w:val="21"/>
          <w:lang w:eastAsia="zh-CN"/>
        </w:rPr>
        <w:t>（</w:t>
      </w:r>
      <w:r>
        <w:rPr>
          <w:rFonts w:hint="eastAsia"/>
          <w:sz w:val="21"/>
          <w:lang w:val="en-US" w:eastAsia="zh-CN"/>
        </w:rPr>
        <w:t>2分）</w:t>
      </w:r>
      <w:r>
        <w:rPr>
          <w:rFonts w:hint="eastAsia"/>
          <w:sz w:val="21"/>
          <w:lang w:eastAsia="zh-CN"/>
        </w:rPr>
        <w:t>（</w:t>
      </w:r>
      <w:r>
        <w:rPr>
          <w:rFonts w:hint="eastAsia"/>
          <w:sz w:val="21"/>
          <w:lang w:val="en-US" w:eastAsia="zh-CN"/>
        </w:rPr>
        <w:t>任答2点即给满分4分）</w:t>
      </w:r>
    </w:p>
    <w:p w14:paraId="42235594">
      <w:pPr>
        <w:shd w:val="clear" w:color="auto" w:fill="auto"/>
        <w:spacing w:line="360" w:lineRule="auto"/>
        <w:jc w:val="left"/>
        <w:textAlignment w:val="center"/>
        <w:rPr>
          <w:sz w:val="21"/>
        </w:rPr>
      </w:pPr>
      <w:r>
        <w:rPr>
          <w:sz w:val="21"/>
        </w:rPr>
        <w:t>[或不可行</w:t>
      </w:r>
      <w:r>
        <w:rPr>
          <w:rFonts w:hint="eastAsia"/>
          <w:sz w:val="21"/>
          <w:lang w:eastAsia="zh-CN"/>
        </w:rPr>
        <w:t>（</w:t>
      </w:r>
      <w:r>
        <w:rPr>
          <w:rFonts w:hint="eastAsia"/>
          <w:sz w:val="21"/>
          <w:lang w:val="en-US" w:eastAsia="zh-CN"/>
        </w:rPr>
        <w:t>1分）</w:t>
      </w:r>
      <w:r>
        <w:rPr>
          <w:sz w:val="21"/>
        </w:rPr>
        <w:t>。理由：家居产业产品开发成本高，对多品类产品进行小批量生产的成本高</w:t>
      </w:r>
      <w:r>
        <w:rPr>
          <w:rFonts w:hint="eastAsia"/>
          <w:sz w:val="21"/>
          <w:lang w:eastAsia="zh-CN"/>
        </w:rPr>
        <w:t>（</w:t>
      </w:r>
      <w:r>
        <w:rPr>
          <w:rFonts w:hint="eastAsia"/>
          <w:sz w:val="21"/>
          <w:lang w:val="en-US" w:eastAsia="zh-CN"/>
        </w:rPr>
        <w:t>2分）</w:t>
      </w:r>
      <w:r>
        <w:rPr>
          <w:sz w:val="21"/>
        </w:rPr>
        <w:t>；家居产品生产周期相对较长</w:t>
      </w:r>
      <w:r>
        <w:rPr>
          <w:rFonts w:hint="eastAsia"/>
          <w:sz w:val="21"/>
          <w:lang w:eastAsia="zh-CN"/>
        </w:rPr>
        <w:t>（</w:t>
      </w:r>
      <w:r>
        <w:rPr>
          <w:rFonts w:hint="eastAsia"/>
          <w:sz w:val="21"/>
          <w:lang w:val="en-US" w:eastAsia="zh-CN"/>
        </w:rPr>
        <w:t>2分）</w:t>
      </w:r>
      <w:r>
        <w:rPr>
          <w:sz w:val="21"/>
        </w:rPr>
        <w:t>；市场需求变化快，家居产业快速响应市场并进行大批量生产的难度大</w:t>
      </w:r>
      <w:r>
        <w:rPr>
          <w:rFonts w:hint="eastAsia"/>
          <w:sz w:val="21"/>
          <w:lang w:eastAsia="zh-CN"/>
        </w:rPr>
        <w:t>（</w:t>
      </w:r>
      <w:r>
        <w:rPr>
          <w:rFonts w:hint="eastAsia"/>
          <w:sz w:val="21"/>
          <w:lang w:val="en-US" w:eastAsia="zh-CN"/>
        </w:rPr>
        <w:t>2分）</w:t>
      </w:r>
      <w:r>
        <w:rPr>
          <w:sz w:val="21"/>
        </w:rPr>
        <w:t>。</w:t>
      </w:r>
      <w:r>
        <w:rPr>
          <w:rFonts w:hint="eastAsia"/>
          <w:sz w:val="21"/>
          <w:lang w:eastAsia="zh-CN"/>
        </w:rPr>
        <w:t>（</w:t>
      </w:r>
      <w:r>
        <w:rPr>
          <w:rFonts w:hint="eastAsia"/>
          <w:sz w:val="21"/>
          <w:lang w:val="en-US" w:eastAsia="zh-CN"/>
        </w:rPr>
        <w:t>任答2点即给满分4分）</w:t>
      </w:r>
      <w:r>
        <w:rPr>
          <w:sz w:val="21"/>
        </w:rPr>
        <w:t>]</w:t>
      </w:r>
    </w:p>
    <w:p w14:paraId="2D1AD67A">
      <w:pPr>
        <w:shd w:val="clear" w:color="auto" w:fill="auto"/>
        <w:spacing w:line="360" w:lineRule="auto"/>
        <w:jc w:val="left"/>
        <w:textAlignment w:val="center"/>
        <w:rPr>
          <w:sz w:val="21"/>
        </w:rPr>
      </w:pPr>
      <w:r>
        <w:rPr>
          <w:sz w:val="21"/>
        </w:rPr>
        <w:t>【知识点】工业发展方向及措施、工业区位因素的变化现状、工业的主要区位因素</w:t>
      </w:r>
    </w:p>
    <w:p w14:paraId="60261DEA">
      <w:pPr>
        <w:shd w:val="clear" w:color="auto" w:fill="auto"/>
        <w:spacing w:line="360" w:lineRule="auto"/>
        <w:jc w:val="left"/>
        <w:textAlignment w:val="center"/>
        <w:rPr>
          <w:sz w:val="21"/>
        </w:rPr>
      </w:pPr>
      <w:r>
        <w:rPr>
          <w:sz w:val="21"/>
        </w:rPr>
        <w:t>【分析】本题以广东家居服饰公司经营为材料，涉及工业发展、工业区位条件、产业转型升级相关内容，考查学生对相关知识的掌握程度。</w:t>
      </w:r>
    </w:p>
    <w:p w14:paraId="205498D9">
      <w:pPr>
        <w:shd w:val="clear" w:color="auto" w:fill="auto"/>
        <w:spacing w:line="360" w:lineRule="auto"/>
        <w:jc w:val="left"/>
        <w:textAlignment w:val="center"/>
        <w:rPr>
          <w:sz w:val="21"/>
        </w:rPr>
      </w:pPr>
      <w:r>
        <w:rPr>
          <w:sz w:val="21"/>
        </w:rPr>
        <w:t>【详解】（1）“小单快返”模式“小单快返”模式用较低成本快速获取市场信息，便于公司快速应对市场变化，降低盲目生产风险；对“爆款”进行快速返单，能够减轻服装库存压力，根据热销款式迅速追加产量，使企业紧跟市场需求变化，快速投放欧美市场；大规模生产“爆款”，减少生产环节的复杂性，可降低服装生产成本，使产品在国际市场具有价格优势，增加产品综合竞争力。</w:t>
      </w:r>
    </w:p>
    <w:p w14:paraId="51D245FF">
      <w:pPr>
        <w:shd w:val="clear" w:color="auto" w:fill="auto"/>
        <w:spacing w:line="360" w:lineRule="auto"/>
        <w:jc w:val="left"/>
        <w:textAlignment w:val="center"/>
        <w:rPr>
          <w:sz w:val="21"/>
        </w:rPr>
      </w:pPr>
      <w:r>
        <w:rPr>
          <w:sz w:val="21"/>
        </w:rPr>
        <w:t>（2）广州服装产业历史悠久，行业内知名度高；番禺区交通便利物流产业发达，原料及产品运输便利，适合建立服装相关供应链条；服装产业规模大，生产企业数量多，服装产业链完善，能够满足快速大批量生产的需求，满足“爆款”的生产需求；位于我国东南沿海地区，靠近机场及港口，具有自明以来的进出口经验，便于产品出口，发展外向型服装产业。</w:t>
      </w:r>
    </w:p>
    <w:p w14:paraId="63C80B2D">
      <w:pPr>
        <w:shd w:val="clear" w:color="auto" w:fill="auto"/>
        <w:spacing w:line="360" w:lineRule="auto"/>
        <w:jc w:val="left"/>
        <w:textAlignment w:val="center"/>
        <w:rPr>
          <w:sz w:val="21"/>
        </w:rPr>
      </w:pPr>
      <w:r>
        <w:rPr>
          <w:sz w:val="21"/>
        </w:rPr>
        <w:t>（3）本题为开放性试题，可从可行和不可行两个方面进行回答。若回答可行，理由是广东佛山家居产业发展历史悠久，产业发展水平高，其技术水平、创新能力较高，能够根据市场需求快速进行产品设计并小批量投入生产；近年来，我国数字化产业发展迅速，改变了传统的产业形态，“直播+电商”及“预售”模式兴起，为家居产业快速获取市场信息提供了数据支持，可以更好的适应市场变化；广东佛山家居产业呈集群化发展特点，市场反应快，生产能力强，能够快速对“爆款”进行批量生产，迅速的获得市场订单。</w:t>
      </w:r>
    </w:p>
    <w:p w14:paraId="1F0EB463">
      <w:pPr>
        <w:shd w:val="clear" w:color="auto" w:fill="auto"/>
        <w:spacing w:line="360" w:lineRule="auto"/>
        <w:jc w:val="left"/>
        <w:textAlignment w:val="center"/>
        <w:rPr>
          <w:sz w:val="21"/>
        </w:rPr>
      </w:pPr>
      <w:r>
        <w:rPr>
          <w:sz w:val="21"/>
        </w:rPr>
        <w:t>若回答不可行。理由是家居产业产品单品设计开发成本高，对多品类产品进行小批量生产会增加设计成本，得不偿失；家居产品生产周期相对较长，极有可能在生产的过程中市场条件已经发生了变化；市场需求变</w:t>
      </w:r>
      <w:bookmarkStart w:id="0" w:name="_GoBack"/>
      <w:bookmarkEnd w:id="0"/>
      <w:r>
        <w:rPr>
          <w:sz w:val="21"/>
        </w:rPr>
        <w:t>化快，厂家反应需要时间，家居产业快速响应市场并进行大批量生产的难度大，极有可能造成成本的浪费和产品的挤压。</w:t>
      </w:r>
    </w:p>
    <w:p w14:paraId="5212B63D">
      <w:pPr>
        <w:shd w:val="clear" w:color="auto" w:fill="auto"/>
        <w:spacing w:line="360" w:lineRule="auto"/>
        <w:jc w:val="left"/>
        <w:textAlignment w:val="center"/>
        <w:rPr>
          <w:sz w:val="21"/>
        </w:rPr>
      </w:pPr>
    </w:p>
    <w:sectPr>
      <w:headerReference r:id="rId3" w:type="default"/>
      <w:footerReference r:id="rId5" w:type="default"/>
      <w:headerReference r:id="rId4" w:type="even"/>
      <w:footerReference r:id="rId6" w:type="even"/>
      <w:pgSz w:w="11907" w:h="16839"/>
      <w:pgMar w:top="1440" w:right="1800" w:bottom="1440" w:left="1800" w:header="851" w:footer="4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F2640">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30501">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4778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CAED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806B0"/>
    <w:rsid w:val="00E476EE"/>
    <w:rsid w:val="00EF035E"/>
    <w:rsid w:val="00F16B29"/>
    <w:rsid w:val="00FA429B"/>
    <w:rsid w:val="2E1B14D5"/>
    <w:rsid w:val="4400333E"/>
    <w:rsid w:val="4AA2740E"/>
    <w:rsid w:val="58757AB8"/>
    <w:rsid w:val="699D5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Pages>9</Pages>
  <Words>11655</Words>
  <Characters>12079</Characters>
  <Lines>0</Lines>
  <Paragraphs>0</Paragraphs>
  <TotalTime>2</TotalTime>
  <ScaleCrop>false</ScaleCrop>
  <LinksUpToDate>false</LinksUpToDate>
  <CharactersWithSpaces>12539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这世界很扯</cp:lastModifiedBy>
  <dcterms:modified xsi:type="dcterms:W3CDTF">2025-05-15T10:47:52Z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da76300b4d554380a920d154863cce91mzezmtqwnje5mq</vt:lpwstr>
  </property>
  <property fmtid="{D5CDD505-2E9C-101B-9397-08002B2CF9AE}" pid="4" name="KSOProductBuildVer">
    <vt:lpwstr>2052-12.1.0.21171</vt:lpwstr>
  </property>
  <property fmtid="{D5CDD505-2E9C-101B-9397-08002B2CF9AE}" pid="5" name="ICV">
    <vt:lpwstr>0E043F570C7D493F9EBD6756F00336C5_13</vt:lpwstr>
  </property>
  <property fmtid="{D5CDD505-2E9C-101B-9397-08002B2CF9AE}" pid="6" name="KSOTemplateDocerSaveRecord">
    <vt:lpwstr>eyJoZGlkIjoiZmVkNTQ1YzdmZWU2NDY2NjFkNDI5Yjk3OWU1NTRlOGMiLCJ1c2VySWQiOiI4Mzg1MjUzNjkifQ==</vt:lpwstr>
  </property>
</Properties>
</file>