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600"/>
        <w:jc w:val="both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2025年小学美术学科专业知识试题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美术</w:t>
      </w:r>
    </w:p>
    <w:p>
      <w:pPr>
        <w:tabs>
          <w:tab w:val="right" w:pos="8306"/>
        </w:tabs>
        <w:spacing w:line="440" w:lineRule="exact"/>
        <w:outlineLvl w:val="0"/>
        <w:rPr>
          <w:rFonts w:hint="eastAsia"/>
          <w:lang w:val="en-US" w:eastAsia="zh-CN"/>
        </w:rPr>
      </w:pPr>
      <w:r>
        <w:rPr>
          <w:rFonts w:hint="eastAsia" w:ascii="宋体" w:hAnsi="宋体"/>
          <w:b/>
          <w:szCs w:val="21"/>
        </w:rPr>
        <w:t>一、填空题：（本大题共</w:t>
      </w:r>
      <w:r>
        <w:rPr>
          <w:rFonts w:hint="eastAsia" w:ascii="宋体" w:hAnsi="宋体"/>
          <w:b/>
          <w:szCs w:val="21"/>
          <w:lang w:val="en-US" w:eastAsia="zh-CN"/>
        </w:rPr>
        <w:t>5</w:t>
      </w:r>
      <w:r>
        <w:rPr>
          <w:rFonts w:hint="eastAsia" w:ascii="宋体" w:hAnsi="宋体"/>
          <w:b/>
          <w:szCs w:val="21"/>
        </w:rPr>
        <w:t>小题，每空</w:t>
      </w:r>
      <w:r>
        <w:rPr>
          <w:rFonts w:hint="eastAsia" w:ascii="宋体" w:hAnsi="宋体"/>
          <w:b/>
          <w:szCs w:val="21"/>
          <w:lang w:val="en-US" w:eastAsia="zh-CN"/>
        </w:rPr>
        <w:t>1</w:t>
      </w:r>
      <w:r>
        <w:rPr>
          <w:rFonts w:hint="eastAsia" w:ascii="宋体" w:hAnsi="宋体"/>
          <w:b/>
          <w:szCs w:val="21"/>
        </w:rPr>
        <w:t>分，共</w:t>
      </w:r>
      <w:r>
        <w:rPr>
          <w:rFonts w:hint="eastAsia" w:ascii="宋体" w:hAnsi="宋体"/>
          <w:b/>
          <w:szCs w:val="21"/>
          <w:lang w:val="en-US" w:eastAsia="zh-CN"/>
        </w:rPr>
        <w:t xml:space="preserve"> 20 </w:t>
      </w:r>
      <w:r>
        <w:rPr>
          <w:rFonts w:hint="eastAsia" w:ascii="宋体" w:hAnsi="宋体"/>
          <w:b/>
          <w:szCs w:val="21"/>
        </w:rPr>
        <w:t>分）</w:t>
      </w:r>
    </w:p>
    <w:p>
      <w:pPr>
        <w:tabs>
          <w:tab w:val="right" w:pos="8306"/>
        </w:tabs>
        <w:spacing w:line="440" w:lineRule="exac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1、艺术教育  弘扬真善美  美好心灵  </w:t>
      </w:r>
    </w:p>
    <w:p>
      <w:pPr>
        <w:tabs>
          <w:tab w:val="right" w:pos="8306"/>
        </w:tabs>
        <w:spacing w:line="440" w:lineRule="exact"/>
        <w:outlineLvl w:val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2、音乐  美术  </w:t>
      </w:r>
      <w:r>
        <w:rPr>
          <w:rFonts w:hint="eastAsia"/>
          <w:lang w:val="en-US" w:eastAsia="zh-CN"/>
        </w:rPr>
        <w:t xml:space="preserve">审美教育  情操教育  心灵教育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3、立德树人  先进文化  革命文化  中华优秀传统文化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4、点   线   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5、绘画   雕塑    建筑   设计(工艺)   摄影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二、单项选择题:（本大题共</w:t>
      </w:r>
      <w:r>
        <w:rPr>
          <w:rFonts w:hint="eastAsia" w:ascii="宋体" w:hAnsi="宋体"/>
          <w:b/>
          <w:bCs/>
          <w:szCs w:val="21"/>
          <w:lang w:val="en-US" w:eastAsia="zh-CN"/>
        </w:rPr>
        <w:t>10</w:t>
      </w:r>
      <w:r>
        <w:rPr>
          <w:rFonts w:hint="eastAsia" w:ascii="宋体" w:hAnsi="宋体"/>
          <w:b/>
          <w:bCs/>
          <w:szCs w:val="21"/>
        </w:rPr>
        <w:t>小题，每小题</w:t>
      </w:r>
      <w:r>
        <w:rPr>
          <w:rFonts w:hint="eastAsia" w:ascii="宋体" w:hAnsi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/>
          <w:b/>
          <w:bCs/>
          <w:szCs w:val="21"/>
        </w:rPr>
        <w:t>分，共</w:t>
      </w:r>
      <w:r>
        <w:rPr>
          <w:rFonts w:hint="eastAsia" w:ascii="宋体" w:hAnsi="宋体"/>
          <w:b/>
          <w:bCs/>
          <w:szCs w:val="21"/>
          <w:lang w:val="en-US" w:eastAsia="zh-CN"/>
        </w:rPr>
        <w:t>20</w:t>
      </w:r>
      <w:r>
        <w:rPr>
          <w:rFonts w:hint="eastAsia" w:ascii="宋体" w:hAnsi="宋体"/>
          <w:b/>
          <w:bCs/>
          <w:szCs w:val="21"/>
        </w:rPr>
        <w:t>分）</w:t>
      </w:r>
    </w:p>
    <w:tbl>
      <w:tblPr>
        <w:tblStyle w:val="5"/>
        <w:tblpPr w:leftFromText="180" w:rightFromText="180" w:vertAnchor="text" w:horzAnchor="page" w:tblpX="3073" w:tblpY="183"/>
        <w:tblOverlap w:val="never"/>
        <w:tblW w:w="3958" w:type="dxa"/>
        <w:tblCellSpacing w:w="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8"/>
        <w:gridCol w:w="391"/>
        <w:gridCol w:w="391"/>
        <w:gridCol w:w="376"/>
        <w:gridCol w:w="390"/>
        <w:gridCol w:w="362"/>
        <w:gridCol w:w="376"/>
        <w:gridCol w:w="14"/>
        <w:gridCol w:w="376"/>
        <w:gridCol w:w="449"/>
        <w:gridCol w:w="4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6</w:t>
            </w:r>
          </w:p>
        </w:tc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7</w:t>
            </w:r>
          </w:p>
        </w:tc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8</w:t>
            </w:r>
          </w:p>
        </w:tc>
        <w:tc>
          <w:tcPr>
            <w:tcW w:w="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9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10</w:t>
            </w:r>
          </w:p>
        </w:tc>
        <w:tc>
          <w:tcPr>
            <w:tcW w:w="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11</w:t>
            </w:r>
          </w:p>
        </w:tc>
        <w:tc>
          <w:tcPr>
            <w:tcW w:w="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12</w:t>
            </w:r>
          </w:p>
        </w:tc>
        <w:tc>
          <w:tcPr>
            <w:tcW w:w="3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13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14</w:t>
            </w:r>
          </w:p>
        </w:tc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B</w:t>
            </w:r>
          </w:p>
        </w:tc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B</w:t>
            </w:r>
          </w:p>
        </w:tc>
        <w:tc>
          <w:tcPr>
            <w:tcW w:w="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C</w:t>
            </w:r>
          </w:p>
        </w:tc>
        <w:tc>
          <w:tcPr>
            <w:tcW w:w="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C</w:t>
            </w:r>
          </w:p>
        </w:tc>
        <w:tc>
          <w:tcPr>
            <w:tcW w:w="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A</w:t>
            </w:r>
          </w:p>
        </w:tc>
        <w:tc>
          <w:tcPr>
            <w:tcW w:w="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B</w:t>
            </w:r>
          </w:p>
        </w:tc>
        <w:tc>
          <w:tcPr>
            <w:tcW w:w="3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18"/>
                <w:lang w:val="en-US" w:eastAsia="zh-CN"/>
              </w:rPr>
              <w:t>C</w:t>
            </w:r>
          </w:p>
        </w:tc>
        <w:tc>
          <w:tcPr>
            <w:tcW w:w="3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  <w:t>A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  <w:t>A</w:t>
            </w:r>
          </w:p>
        </w:tc>
        <w:tc>
          <w:tcPr>
            <w:tcW w:w="4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18"/>
                <w:lang w:val="en-US" w:eastAsia="zh-CN"/>
              </w:rPr>
              <w:t xml:space="preserve">C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答案:B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答案:B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【解析】</w:t>
      </w:r>
      <w:r>
        <w:rPr>
          <w:rFonts w:hint="eastAsia" w:ascii="宋体" w:hAnsi="宋体" w:eastAsia="宋体" w:cs="宋体"/>
          <w:sz w:val="21"/>
          <w:szCs w:val="21"/>
        </w:rPr>
        <w:t>宋代院体花鸟画典范，细腻设色，精微刻画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8、答案:C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【解析】定窑白瓷"类银似雪"，宋代文人最爱。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9、答案:C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【解析】《颜勤礼碑》是唐楷典范。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10、答案:A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【解析】中国传统民间美术(如年画、剪纸)常使用五色体系，对应五行观念(火、木、土、金、水)，色彩对比强烈。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11、答案B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【解析】秦汉雕塑是中国雕塑史上的第一个高峰。《击鼓说唱俑》是东汉的一件富有浓厚民间气息和地方特色的优秀雕塑作品。出土于四川成都天回山，现藏于国家博物馆。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12、答案:C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【解析】青铜器氧化后形成锈色(青绿/灰)，并非因成分或产地命名，而是直观色彩描述。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13.答案A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【解析】:《大阿福》是惠山泥人的代表作品。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14.答案A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【解析】平行透视，小道的消失点是画面的焦点。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答案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C</w:t>
      </w:r>
    </w:p>
    <w:p>
      <w:pPr>
        <w:rPr>
          <w:rFonts w:hint="eastAsia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【解析】作者因材施雕，循石造型。</w:t>
      </w:r>
    </w:p>
    <w:p>
      <w:pPr>
        <w:numPr>
          <w:ilvl w:val="0"/>
          <w:numId w:val="0"/>
        </w:numPr>
        <w:spacing w:line="320" w:lineRule="exact"/>
        <w:rPr>
          <w:rFonts w:hint="eastAsia"/>
          <w:b/>
          <w:bCs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20" w:lineRule="exact"/>
        <w:rPr>
          <w:rFonts w:hint="eastAsia"/>
          <w:b/>
          <w:bCs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2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三、简答题：</w:t>
      </w:r>
      <w:r>
        <w:rPr>
          <w:rFonts w:hint="eastAsia"/>
          <w:b/>
          <w:szCs w:val="21"/>
        </w:rPr>
        <w:t>（本大题共</w:t>
      </w:r>
      <w:r>
        <w:rPr>
          <w:rFonts w:hint="eastAsia"/>
          <w:b/>
          <w:szCs w:val="21"/>
          <w:lang w:val="en-US" w:eastAsia="zh-CN"/>
        </w:rPr>
        <w:t xml:space="preserve"> 3</w:t>
      </w:r>
      <w:r>
        <w:rPr>
          <w:rFonts w:hint="eastAsia"/>
          <w:b/>
          <w:szCs w:val="21"/>
        </w:rPr>
        <w:t>小题，</w:t>
      </w:r>
      <w:r>
        <w:rPr>
          <w:rFonts w:hint="eastAsia"/>
          <w:b/>
          <w:szCs w:val="21"/>
          <w:lang w:val="en-US" w:eastAsia="zh-CN"/>
        </w:rPr>
        <w:t>第16、17</w:t>
      </w:r>
      <w:r>
        <w:rPr>
          <w:rFonts w:hint="eastAsia"/>
          <w:b/>
          <w:bCs/>
          <w:szCs w:val="21"/>
        </w:rPr>
        <w:t>小题</w:t>
      </w:r>
      <w:r>
        <w:rPr>
          <w:rFonts w:hint="eastAsia"/>
          <w:b/>
          <w:bCs/>
          <w:szCs w:val="21"/>
          <w:lang w:val="en-US" w:eastAsia="zh-CN"/>
        </w:rPr>
        <w:t xml:space="preserve">各3 </w:t>
      </w:r>
      <w:r>
        <w:rPr>
          <w:rFonts w:hint="eastAsia"/>
          <w:b/>
          <w:bCs/>
          <w:szCs w:val="21"/>
        </w:rPr>
        <w:t>分，</w:t>
      </w:r>
      <w:r>
        <w:rPr>
          <w:rFonts w:hint="eastAsia"/>
          <w:b/>
          <w:bCs/>
          <w:szCs w:val="21"/>
          <w:lang w:val="en-US" w:eastAsia="zh-CN"/>
        </w:rPr>
        <w:t>第18小题4分，</w:t>
      </w:r>
      <w:r>
        <w:rPr>
          <w:rFonts w:hint="eastAsia"/>
          <w:b/>
          <w:bCs/>
          <w:szCs w:val="21"/>
        </w:rPr>
        <w:t>共</w:t>
      </w:r>
      <w:r>
        <w:rPr>
          <w:rFonts w:hint="eastAsia"/>
          <w:b/>
          <w:bCs/>
          <w:szCs w:val="21"/>
          <w:lang w:val="en-US" w:eastAsia="zh-CN"/>
        </w:rPr>
        <w:t xml:space="preserve"> 10 </w:t>
      </w:r>
      <w:r>
        <w:rPr>
          <w:rFonts w:hint="eastAsia"/>
          <w:b/>
          <w:bCs/>
          <w:szCs w:val="21"/>
        </w:rPr>
        <w:t>分）</w:t>
      </w:r>
    </w:p>
    <w:p>
      <w:pPr>
        <w:numPr>
          <w:ilvl w:val="0"/>
          <w:numId w:val="2"/>
        </w:numPr>
        <w:spacing w:line="440" w:lineRule="exac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（1）坚持以美育人</w:t>
      </w:r>
    </w:p>
    <w:p>
      <w:pPr>
        <w:numPr>
          <w:ilvl w:val="0"/>
          <w:numId w:val="3"/>
        </w:numPr>
        <w:spacing w:line="440" w:lineRule="exact"/>
        <w:ind w:left="315" w:leftChars="0" w:firstLine="0" w:firstLineChars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重视艺术体验</w:t>
      </w:r>
    </w:p>
    <w:p>
      <w:pPr>
        <w:numPr>
          <w:ilvl w:val="0"/>
          <w:numId w:val="3"/>
        </w:numPr>
        <w:spacing w:line="440" w:lineRule="exact"/>
        <w:ind w:left="315" w:leftChars="0" w:firstLine="0" w:firstLineChars="0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突出课程综合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 w:val="0"/>
          <w:bCs w:val="0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spacing w:line="320" w:lineRule="exact"/>
        <w:ind w:left="0" w:leftChars="0" w:firstLine="0" w:firstLineChars="0"/>
        <w:jc w:val="both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王羲之《兰亭集序》</w:t>
      </w:r>
    </w:p>
    <w:p>
      <w:pPr>
        <w:widowControl w:val="0"/>
        <w:numPr>
          <w:numId w:val="0"/>
        </w:numPr>
        <w:spacing w:line="320" w:lineRule="exact"/>
        <w:ind w:leftChars="0"/>
        <w:jc w:val="both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 xml:space="preserve">   颜真卿《祭侄文稿》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 xml:space="preserve">   苏轼《寒食帖》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20" w:lineRule="exact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18.</w:t>
      </w:r>
      <w:r>
        <w:rPr>
          <w:rFonts w:hint="eastAsia"/>
          <w:lang w:val="en-US" w:eastAsia="zh-CN"/>
        </w:rPr>
        <w:t>（1）坚持素养导向</w:t>
      </w:r>
    </w:p>
    <w:p>
      <w:pPr>
        <w:numPr>
          <w:ilvl w:val="0"/>
          <w:numId w:val="4"/>
        </w:numPr>
        <w:spacing w:line="440" w:lineRule="exact"/>
        <w:ind w:left="315" w:leftChars="0" w:firstLine="0" w:firstLineChars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坚持以评促教</w:t>
      </w:r>
    </w:p>
    <w:p>
      <w:pPr>
        <w:numPr>
          <w:ilvl w:val="0"/>
          <w:numId w:val="4"/>
        </w:numPr>
        <w:spacing w:line="440" w:lineRule="exact"/>
        <w:ind w:left="315" w:leftChars="0" w:firstLine="0" w:firstLineChars="0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重视表现性评价</w:t>
      </w:r>
    </w:p>
    <w:p>
      <w:pPr>
        <w:numPr>
          <w:ilvl w:val="0"/>
          <w:numId w:val="4"/>
        </w:numPr>
        <w:spacing w:line="440" w:lineRule="exact"/>
        <w:ind w:left="315" w:leftChars="0" w:firstLine="0" w:firstLineChars="0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坚持多主体评价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  <w:b/>
          <w:bCs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四、论述题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szCs w:val="21"/>
        </w:rPr>
        <w:t>（本大题共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小题，</w:t>
      </w:r>
      <w:r>
        <w:rPr>
          <w:rFonts w:hint="eastAsia"/>
          <w:b/>
          <w:bCs/>
          <w:szCs w:val="21"/>
          <w:lang w:val="en-US" w:eastAsia="zh-CN"/>
        </w:rPr>
        <w:t>每</w:t>
      </w:r>
      <w:r>
        <w:rPr>
          <w:rFonts w:hint="eastAsia"/>
          <w:b/>
          <w:bCs/>
          <w:szCs w:val="21"/>
        </w:rPr>
        <w:t>小题</w:t>
      </w:r>
      <w:r>
        <w:rPr>
          <w:rFonts w:hint="eastAsia"/>
          <w:b/>
          <w:bCs/>
          <w:szCs w:val="21"/>
          <w:lang w:val="en-US" w:eastAsia="zh-CN"/>
        </w:rPr>
        <w:t>10</w:t>
      </w:r>
      <w:r>
        <w:rPr>
          <w:rFonts w:hint="eastAsia"/>
          <w:b/>
          <w:bCs/>
          <w:szCs w:val="21"/>
        </w:rPr>
        <w:t>分，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rFonts w:hint="eastAsia"/>
          <w:b/>
          <w:bCs/>
          <w:szCs w:val="21"/>
        </w:rPr>
        <w:t>共</w:t>
      </w:r>
      <w:r>
        <w:rPr>
          <w:rFonts w:hint="eastAsia"/>
          <w:b/>
          <w:bCs/>
          <w:szCs w:val="21"/>
          <w:lang w:val="en-US" w:eastAsia="zh-CN"/>
        </w:rPr>
        <w:t>30</w:t>
      </w:r>
      <w:r>
        <w:rPr>
          <w:rFonts w:hint="eastAsia"/>
          <w:b/>
          <w:bCs/>
          <w:szCs w:val="21"/>
        </w:rPr>
        <w:t>分）</w:t>
      </w:r>
    </w:p>
    <w:p>
      <w:pPr>
        <w:spacing w:line="280" w:lineRule="exac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19、答案要点：</w:t>
      </w:r>
    </w:p>
    <w:p>
      <w:pPr>
        <w:spacing w:line="280" w:lineRule="exac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美术教学要以美术学科为主体，加强与其他艺术的融合，重视美术与其他学科的联系，加强课程内容与学生经验、社会生活的联系</w:t>
      </w:r>
      <w:bookmarkStart w:id="0" w:name="_GoBack"/>
      <w:bookmarkEnd w:id="0"/>
      <w:r>
        <w:rPr>
          <w:rFonts w:hint="eastAsia"/>
          <w:color w:val="auto"/>
          <w:szCs w:val="21"/>
          <w:lang w:val="en-US" w:eastAsia="zh-CN"/>
        </w:rPr>
        <w:t>，强化学科内知识整合，统筹设计综合课程和跨学科主题学习，充分发挥课程协同育人功能。（5分）</w:t>
      </w:r>
    </w:p>
    <w:p>
      <w:pPr>
        <w:spacing w:line="280" w:lineRule="exact"/>
        <w:rPr>
          <w:rFonts w:hint="eastAsia"/>
          <w:color w:val="0000FF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根据教学实践阐述。（10分）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20、解析：</w:t>
      </w:r>
    </w:p>
    <w:p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/>
        </w:rPr>
      </w:pPr>
      <w:r>
        <w:rPr>
          <w:rFonts w:hint="eastAsia"/>
          <w:lang w:val="en-US" w:eastAsia="zh-CN"/>
        </w:rPr>
        <w:t>【作品背景】</w:t>
      </w:r>
      <w:r>
        <w:rPr>
          <w:rFonts w:hint="eastAsia"/>
        </w:rPr>
        <w:t>宋初市民阶层的形成，出现了以市俗生活为中心内容的风俗画。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【作品内容】</w:t>
      </w:r>
      <w:r>
        <w:rPr>
          <w:rFonts w:hint="eastAsia"/>
        </w:rPr>
        <w:t>通过郊野、汴河、街市三个段落，展现了北宋都城汴梁汴河两岸清明时节的街市景象。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【艺术特色】</w:t>
      </w:r>
      <w:r>
        <w:rPr>
          <w:rFonts w:hint="eastAsia"/>
        </w:rPr>
        <w:t>构图采用散点透视。布局有序，内容丰富，主题突出。采用线描淡彩画法并紧密结合对象的质感特征。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【整体评价】</w:t>
      </w:r>
      <w:r>
        <w:rPr>
          <w:rFonts w:hint="eastAsia"/>
        </w:rPr>
        <w:t>体现了中国古代风俗画的最高成就，对研究宋代的城市生活以及民俗、服饰建筑、工商、交通等具有重要的文献价值。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21、解析：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【作品背景】《拾穗者》是19世纪法国现实画家米勒的代表作品。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作品内容】作品描绘了秋季收获后，人们从地里拣拾剩余麦穗的情景。画面的主体是三个弯腰头戴红、黄、蓝三色头巾拾麦穗的农妇，她们谦卑地躬下身子，在大地里寻找零散、剩余的粮食，背景是一辆载满麦子的马车、骑马的人和高高堆起的麦垛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艺术特色】在构图上，米勒采用了黄金分割率对画面进行整体安排，画面三个主人公均处于画面的黄金分割点位置，使画面和谐均衡，体现了米勒精心巧妙的构图设计。从色彩上来说，画面中三位农妇的头巾使用红、黄、蓝三种不同的颜色来表现，画面整体使用了迷人的暖黄色调，营造出整体气氛安静庄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【整体评价】作品是表现农民生活情境的作品，引起资产阶级舆论界的广泛关注。</w:t>
      </w:r>
    </w:p>
    <w:p>
      <w:pPr>
        <w:numPr>
          <w:ilvl w:val="0"/>
          <w:numId w:val="5"/>
        </w:numPr>
        <w:spacing w:line="280" w:lineRule="exac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答案要点：</w:t>
      </w:r>
    </w:p>
    <w:p>
      <w:pPr>
        <w:numPr>
          <w:numId w:val="0"/>
        </w:numPr>
        <w:spacing w:line="280" w:lineRule="exact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【解析】</w:t>
      </w:r>
      <w:r>
        <w:rPr>
          <w:rFonts w:hint="eastAsia"/>
          <w:color w:val="auto"/>
          <w:lang w:val="en-US" w:eastAsia="zh-CN"/>
        </w:rPr>
        <w:t>这位教师的教学过程和时间安排不合适，教师过多占用了课堂时间，学生写生练习时间只有10分钟，这么短时间内学生是难以完成作业的。建议分析人物各种脸型环节只用1-2分钟，教师讲解“三庭五眼”的比例关系和五官、发型的画法这个环节可以和示范写生环节合在一起，边示范边讲解，10-15分钟内完成，这样就节省了教师教的时间，将更多时间用于学生的学；学生作业时间可以保留在20-25分钟内，这样学生就能有较充裕的时间写生练习并完成作业，体现了新课标以学生为本的教学要求。</w:t>
      </w:r>
    </w:p>
    <w:p>
      <w:pPr>
        <w:spacing w:line="28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color w:val="auto"/>
          <w:szCs w:val="21"/>
          <w:lang w:eastAsia="zh-CN"/>
        </w:rPr>
        <w:t>（</w:t>
      </w:r>
      <w:r>
        <w:rPr>
          <w:rFonts w:hint="eastAsia"/>
          <w:color w:val="auto"/>
          <w:szCs w:val="21"/>
          <w:lang w:val="en-US" w:eastAsia="zh-CN"/>
        </w:rPr>
        <w:t>根据教学意见和合理建议赋分</w:t>
      </w:r>
      <w:r>
        <w:rPr>
          <w:rFonts w:hint="eastAsia"/>
          <w:color w:val="auto"/>
          <w:szCs w:val="21"/>
          <w:lang w:eastAsia="zh-CN"/>
        </w:rPr>
        <w:t>）</w:t>
      </w:r>
    </w:p>
    <w:sectPr>
      <w:footerReference r:id="rId3" w:type="default"/>
      <w:pgSz w:w="11850" w:h="16783"/>
      <w:pgMar w:top="837" w:right="1330" w:bottom="348" w:left="15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260" w:firstLineChars="700"/>
      <w:rPr>
        <w:rFonts w:hint="eastAsia" w:eastAsiaTheme="minorEastAsia"/>
        <w:color w:val="auto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161C6"/>
    <w:multiLevelType w:val="singleLevel"/>
    <w:tmpl w:val="A75161C6"/>
    <w:lvl w:ilvl="0" w:tentative="0">
      <w:start w:val="22"/>
      <w:numFmt w:val="decimal"/>
      <w:suff w:val="nothing"/>
      <w:lvlText w:val="%1、"/>
      <w:lvlJc w:val="left"/>
    </w:lvl>
  </w:abstractNum>
  <w:abstractNum w:abstractNumId="1">
    <w:nsid w:val="AD00C7D5"/>
    <w:multiLevelType w:val="singleLevel"/>
    <w:tmpl w:val="AD00C7D5"/>
    <w:lvl w:ilvl="0" w:tentative="0">
      <w:start w:val="2"/>
      <w:numFmt w:val="decimal"/>
      <w:suff w:val="nothing"/>
      <w:lvlText w:val="（%1）"/>
      <w:lvlJc w:val="left"/>
      <w:pPr>
        <w:ind w:left="315" w:firstLine="0"/>
      </w:pPr>
    </w:lvl>
  </w:abstractNum>
  <w:abstractNum w:abstractNumId="2">
    <w:nsid w:val="B4609422"/>
    <w:multiLevelType w:val="singleLevel"/>
    <w:tmpl w:val="B4609422"/>
    <w:lvl w:ilvl="0" w:tentative="0">
      <w:start w:val="7"/>
      <w:numFmt w:val="decimal"/>
      <w:suff w:val="nothing"/>
      <w:lvlText w:val="%1、"/>
      <w:lvlJc w:val="left"/>
    </w:lvl>
  </w:abstractNum>
  <w:abstractNum w:abstractNumId="3">
    <w:nsid w:val="B773BDD2"/>
    <w:multiLevelType w:val="singleLevel"/>
    <w:tmpl w:val="B773BDD2"/>
    <w:lvl w:ilvl="0" w:tentative="0">
      <w:start w:val="2"/>
      <w:numFmt w:val="decimal"/>
      <w:suff w:val="nothing"/>
      <w:lvlText w:val="（%1）"/>
      <w:lvlJc w:val="left"/>
      <w:pPr>
        <w:ind w:left="315" w:firstLine="0"/>
      </w:pPr>
    </w:lvl>
  </w:abstractNum>
  <w:abstractNum w:abstractNumId="4">
    <w:nsid w:val="25180759"/>
    <w:multiLevelType w:val="singleLevel"/>
    <w:tmpl w:val="25180759"/>
    <w:lvl w:ilvl="0" w:tentative="0">
      <w:start w:val="16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hw</dc:creator>
  <cp:lastModifiedBy>hw</cp:lastModifiedBy>
  <dcterms:modified xsi:type="dcterms:W3CDTF">2025-05-16T12:59:34Z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