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60132F">
      <w:pPr>
        <w:jc w:val="center"/>
        <w:textAlignment w:val="center"/>
        <w:rPr>
          <w:rFonts w:hint="default" w:ascii="宋体" w:hAnsi="宋体" w:eastAsia="宋体" w:cs="宋体"/>
          <w:b/>
          <w:i w:val="0"/>
          <w:color w:val="000000"/>
          <w:sz w:val="30"/>
          <w:lang w:val="en-US" w:eastAsia="zh-CN"/>
        </w:rPr>
      </w:pPr>
      <w:r>
        <w:drawing>
          <wp:inline distT="0" distB="0" distL="114300" distR="114300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i w:val="0"/>
          <w:color w:val="000000"/>
          <w:sz w:val="30"/>
        </w:rPr>
        <w:t>2025年</w:t>
      </w:r>
      <w:r>
        <w:rPr>
          <w:rFonts w:hint="eastAsia" w:ascii="宋体" w:hAnsi="宋体" w:cs="宋体"/>
          <w:b/>
          <w:i w:val="0"/>
          <w:color w:val="000000"/>
          <w:sz w:val="30"/>
          <w:lang w:val="en-US" w:eastAsia="zh-CN"/>
        </w:rPr>
        <w:t>6</w:t>
      </w:r>
      <w:r>
        <w:rPr>
          <w:rFonts w:ascii="宋体" w:hAnsi="宋体" w:eastAsia="宋体" w:cs="宋体"/>
          <w:b/>
          <w:i w:val="0"/>
          <w:color w:val="000000"/>
          <w:sz w:val="30"/>
        </w:rPr>
        <w:t>月高中通用技术</w:t>
      </w:r>
      <w:r>
        <w:rPr>
          <w:rFonts w:hint="eastAsia" w:ascii="宋体" w:hAnsi="宋体" w:cs="宋体"/>
          <w:b/>
          <w:i w:val="0"/>
          <w:color w:val="000000"/>
          <w:sz w:val="30"/>
          <w:lang w:val="en-US" w:eastAsia="zh-CN"/>
        </w:rPr>
        <w:t>专业测试考试试卷（A卷）</w:t>
      </w:r>
    </w:p>
    <w:p w14:paraId="6E588726">
      <w:pPr>
        <w:jc w:val="center"/>
        <w:textAlignment w:val="center"/>
        <w:rPr>
          <w:rFonts w:ascii="Calibri" w:hAnsi="Calibri" w:eastAsia="Calibri" w:cs="Calibri"/>
          <w:b w:val="0"/>
          <w:i w:val="0"/>
          <w:color w:val="000000"/>
          <w:sz w:val="21"/>
        </w:rPr>
      </w:pPr>
      <w:r>
        <w:rPr>
          <w:rFonts w:ascii="Calibri" w:hAnsi="Calibri" w:eastAsia="Calibri" w:cs="Calibri"/>
          <w:b w:val="0"/>
          <w:i w:val="0"/>
          <w:color w:val="000000"/>
          <w:sz w:val="21"/>
        </w:rPr>
        <w:t>学校:___________姓名：___________班级：___________考号：___________</w:t>
      </w:r>
    </w:p>
    <w:p w14:paraId="2852B492">
      <w:pPr>
        <w:jc w:val="center"/>
        <w:textAlignment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0D9527C8">
      <w:pPr>
        <w:jc w:val="left"/>
        <w:textAlignment w:val="center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一、选择题</w:t>
      </w:r>
    </w:p>
    <w:p w14:paraId="596DCD0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1．小张购买了一台新能源汽车，他在小区里地库的自家车位旁边安装了一个立柱式充电桩，以方便为汽车充电。下列各选项中，不属于该充电系统影响因素的是（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0F9E2530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A．汽车的耗电情况</w:t>
      </w:r>
      <w:r>
        <w:rPr>
          <w:sz w:val="21"/>
        </w:rPr>
        <w:tab/>
      </w:r>
      <w:r>
        <w:rPr>
          <w:sz w:val="21"/>
        </w:rPr>
        <w:t>B．电业局的供给电压</w:t>
      </w:r>
      <w:r>
        <w:rPr>
          <w:sz w:val="21"/>
        </w:rPr>
        <w:tab/>
      </w:r>
      <w:r>
        <w:rPr>
          <w:sz w:val="21"/>
        </w:rPr>
        <w:t>C．充电桩的电路性能</w:t>
      </w:r>
      <w:r>
        <w:rPr>
          <w:sz w:val="21"/>
        </w:rPr>
        <w:tab/>
      </w:r>
      <w:r>
        <w:rPr>
          <w:sz w:val="21"/>
        </w:rPr>
        <w:t>D．充电桩的保养和维护</w:t>
      </w:r>
    </w:p>
    <w:p w14:paraId="2547D99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2．设计制作一个结实耐用又便宜的简易小书架，依据所给材料评估表，合适的</w:t>
      </w:r>
      <w:bookmarkStart w:id="0" w:name="_GoBack"/>
      <w:bookmarkEnd w:id="0"/>
      <w:r>
        <w:rPr>
          <w:sz w:val="21"/>
        </w:rPr>
        <w:t>材料是（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tbl>
      <w:tblPr>
        <w:tblStyle w:val="4"/>
        <w:tblW w:w="424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131"/>
        <w:gridCol w:w="1132"/>
        <w:gridCol w:w="1132"/>
        <w:gridCol w:w="850"/>
      </w:tblGrid>
      <w:tr w14:paraId="78D32B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11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0CB3368">
            <w:pPr>
              <w:shd w:val="clear" w:color="auto" w:fill="auto"/>
              <w:spacing w:line="360" w:lineRule="auto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材料</w:t>
            </w:r>
          </w:p>
        </w:tc>
        <w:tc>
          <w:tcPr>
            <w:tcW w:w="11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191C8C6">
            <w:pPr>
              <w:shd w:val="clear" w:color="auto" w:fill="auto"/>
              <w:spacing w:line="360" w:lineRule="auto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加工难易</w:t>
            </w:r>
          </w:p>
        </w:tc>
        <w:tc>
          <w:tcPr>
            <w:tcW w:w="11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0DD7A52">
            <w:pPr>
              <w:shd w:val="clear" w:color="auto" w:fill="auto"/>
              <w:spacing w:line="360" w:lineRule="auto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强度</w:t>
            </w:r>
          </w:p>
        </w:tc>
        <w:tc>
          <w:tcPr>
            <w:tcW w:w="8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9AA5166">
            <w:pPr>
              <w:shd w:val="clear" w:color="auto" w:fill="auto"/>
              <w:spacing w:line="360" w:lineRule="auto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成本</w:t>
            </w:r>
          </w:p>
        </w:tc>
      </w:tr>
      <w:tr w14:paraId="1593C4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11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1DFC296">
            <w:pPr>
              <w:shd w:val="clear" w:color="auto" w:fill="auto"/>
              <w:spacing w:line="360" w:lineRule="auto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金属板</w:t>
            </w:r>
          </w:p>
        </w:tc>
        <w:tc>
          <w:tcPr>
            <w:tcW w:w="11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26DAEA3">
            <w:pPr>
              <w:shd w:val="clear" w:color="auto" w:fill="auto"/>
              <w:spacing w:line="360" w:lineRule="auto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难</w:t>
            </w:r>
          </w:p>
        </w:tc>
        <w:tc>
          <w:tcPr>
            <w:tcW w:w="11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B438D5B">
            <w:pPr>
              <w:shd w:val="clear" w:color="auto" w:fill="auto"/>
              <w:spacing w:line="360" w:lineRule="auto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好</w:t>
            </w:r>
          </w:p>
        </w:tc>
        <w:tc>
          <w:tcPr>
            <w:tcW w:w="8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C3FD9B3">
            <w:pPr>
              <w:shd w:val="clear" w:color="auto" w:fill="auto"/>
              <w:spacing w:line="360" w:lineRule="auto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高</w:t>
            </w:r>
          </w:p>
        </w:tc>
      </w:tr>
      <w:tr w14:paraId="3892FA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11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1C8E5EF">
            <w:pPr>
              <w:shd w:val="clear" w:color="auto" w:fill="auto"/>
              <w:spacing w:line="360" w:lineRule="auto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塑料板</w:t>
            </w:r>
          </w:p>
        </w:tc>
        <w:tc>
          <w:tcPr>
            <w:tcW w:w="11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011C003">
            <w:pPr>
              <w:shd w:val="clear" w:color="auto" w:fill="auto"/>
              <w:spacing w:line="360" w:lineRule="auto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较难</w:t>
            </w:r>
          </w:p>
        </w:tc>
        <w:tc>
          <w:tcPr>
            <w:tcW w:w="11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ABB3677">
            <w:pPr>
              <w:shd w:val="clear" w:color="auto" w:fill="auto"/>
              <w:spacing w:line="360" w:lineRule="auto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一般</w:t>
            </w:r>
          </w:p>
        </w:tc>
        <w:tc>
          <w:tcPr>
            <w:tcW w:w="8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2C70611">
            <w:pPr>
              <w:shd w:val="clear" w:color="auto" w:fill="auto"/>
              <w:spacing w:line="360" w:lineRule="auto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中等</w:t>
            </w:r>
          </w:p>
        </w:tc>
      </w:tr>
      <w:tr w14:paraId="5218A7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11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FFF499B">
            <w:pPr>
              <w:shd w:val="clear" w:color="auto" w:fill="auto"/>
              <w:spacing w:line="360" w:lineRule="auto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杉木板</w:t>
            </w:r>
          </w:p>
        </w:tc>
        <w:tc>
          <w:tcPr>
            <w:tcW w:w="11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485A92A">
            <w:pPr>
              <w:shd w:val="clear" w:color="auto" w:fill="auto"/>
              <w:spacing w:line="360" w:lineRule="auto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易</w:t>
            </w:r>
          </w:p>
        </w:tc>
        <w:tc>
          <w:tcPr>
            <w:tcW w:w="11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F238AB6">
            <w:pPr>
              <w:shd w:val="clear" w:color="auto" w:fill="auto"/>
              <w:spacing w:line="360" w:lineRule="auto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好</w:t>
            </w:r>
          </w:p>
        </w:tc>
        <w:tc>
          <w:tcPr>
            <w:tcW w:w="8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1E33BE1">
            <w:pPr>
              <w:shd w:val="clear" w:color="auto" w:fill="auto"/>
              <w:spacing w:line="360" w:lineRule="auto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低</w:t>
            </w:r>
          </w:p>
        </w:tc>
      </w:tr>
      <w:tr w14:paraId="1E1BAF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11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2B2F565">
            <w:pPr>
              <w:shd w:val="clear" w:color="auto" w:fill="auto"/>
              <w:spacing w:line="360" w:lineRule="auto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三合板</w:t>
            </w:r>
          </w:p>
        </w:tc>
        <w:tc>
          <w:tcPr>
            <w:tcW w:w="11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596CBC5">
            <w:pPr>
              <w:shd w:val="clear" w:color="auto" w:fill="auto"/>
              <w:spacing w:line="360" w:lineRule="auto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易</w:t>
            </w:r>
          </w:p>
        </w:tc>
        <w:tc>
          <w:tcPr>
            <w:tcW w:w="11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0420EC7">
            <w:pPr>
              <w:shd w:val="clear" w:color="auto" w:fill="auto"/>
              <w:spacing w:line="360" w:lineRule="auto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一般</w:t>
            </w:r>
          </w:p>
        </w:tc>
        <w:tc>
          <w:tcPr>
            <w:tcW w:w="8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02EE0C5">
            <w:pPr>
              <w:shd w:val="clear" w:color="auto" w:fill="auto"/>
              <w:spacing w:line="360" w:lineRule="auto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低</w:t>
            </w:r>
          </w:p>
        </w:tc>
      </w:tr>
    </w:tbl>
    <w:p w14:paraId="0A57DE60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A．金属</w:t>
      </w:r>
      <w:r>
        <w:rPr>
          <w:sz w:val="21"/>
        </w:rPr>
        <w:tab/>
      </w:r>
      <w:r>
        <w:rPr>
          <w:sz w:val="21"/>
        </w:rPr>
        <w:t>B．塑料板</w:t>
      </w:r>
      <w:r>
        <w:rPr>
          <w:sz w:val="21"/>
        </w:rPr>
        <w:tab/>
      </w:r>
      <w:r>
        <w:rPr>
          <w:sz w:val="21"/>
        </w:rPr>
        <w:t>C．杉木板</w:t>
      </w:r>
      <w:r>
        <w:rPr>
          <w:sz w:val="21"/>
        </w:rPr>
        <w:tab/>
      </w:r>
      <w:r>
        <w:rPr>
          <w:sz w:val="21"/>
        </w:rPr>
        <w:t>D．三合板</w:t>
      </w:r>
    </w:p>
    <w:p w14:paraId="457BCAC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3．下列选项中不构成人机关系的是（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18E39380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A．教室内的吊扇控制器安装高度约1.2m-1.4m</w:t>
      </w:r>
      <w:r>
        <w:rPr>
          <w:sz w:val="21"/>
        </w:rPr>
        <w:tab/>
      </w:r>
      <w:r>
        <w:rPr>
          <w:sz w:val="21"/>
        </w:rPr>
        <w:t>B．教材书正文最小用字不应小于“小4号”</w:t>
      </w:r>
    </w:p>
    <w:p w14:paraId="18FDE0AC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C．夏装校服成本不应超过150元</w:t>
      </w:r>
      <w:r>
        <w:rPr>
          <w:sz w:val="21"/>
        </w:rPr>
        <w:tab/>
      </w:r>
      <w:r>
        <w:rPr>
          <w:sz w:val="21"/>
        </w:rPr>
        <w:t>D．教室需要保持光线明亮</w:t>
      </w:r>
    </w:p>
    <w:p w14:paraId="23D0D42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4．如图，是某款壁灯上的一个标签，该标签为产品的（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5243609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086100" cy="1171575"/>
            <wp:effectExtent l="0" t="0" r="7620" b="1905"/>
            <wp:docPr id="100003" name="图片 100003" descr="@@@ef71c38a0a9a4324a39c1620e9fd5e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ef71c38a0a9a4324a39c1620e9fd5e6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E39FC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A．配件清单说明</w:t>
      </w:r>
      <w:r>
        <w:rPr>
          <w:sz w:val="21"/>
        </w:rPr>
        <w:tab/>
      </w:r>
      <w:r>
        <w:rPr>
          <w:sz w:val="21"/>
        </w:rPr>
        <w:t>B．技术参数说明</w:t>
      </w:r>
      <w:r>
        <w:rPr>
          <w:sz w:val="21"/>
        </w:rPr>
        <w:tab/>
      </w:r>
      <w:r>
        <w:rPr>
          <w:sz w:val="21"/>
        </w:rPr>
        <w:t>C．结构组成说明</w:t>
      </w:r>
      <w:r>
        <w:rPr>
          <w:sz w:val="21"/>
        </w:rPr>
        <w:tab/>
      </w:r>
      <w:r>
        <w:rPr>
          <w:sz w:val="21"/>
        </w:rPr>
        <w:t>D．维护保养说明</w:t>
      </w:r>
    </w:p>
    <w:p w14:paraId="54150C9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5．如图为某房间石墨烯地暖恒温控制系统框图，该系统中，将房间实际温度（输出量）通过温度传感器返回到输入端，并与设定温度（输入量）进行比较的过程，称之为（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14AC557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695825" cy="685800"/>
            <wp:effectExtent l="0" t="0" r="13335" b="0"/>
            <wp:docPr id="100005" name="图片 100005" descr="@@@ff3040a819344be9a5505819df5a7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ff3040a819344be9a5505819df5a796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C4887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A．反馈</w:t>
      </w:r>
      <w:r>
        <w:rPr>
          <w:sz w:val="21"/>
        </w:rPr>
        <w:tab/>
      </w:r>
      <w:r>
        <w:rPr>
          <w:sz w:val="21"/>
        </w:rPr>
        <w:t>B．干扰</w:t>
      </w:r>
      <w:r>
        <w:rPr>
          <w:sz w:val="21"/>
        </w:rPr>
        <w:tab/>
      </w:r>
      <w:r>
        <w:rPr>
          <w:sz w:val="21"/>
        </w:rPr>
        <w:t>C．反应</w:t>
      </w:r>
      <w:r>
        <w:rPr>
          <w:sz w:val="21"/>
        </w:rPr>
        <w:tab/>
      </w:r>
      <w:r>
        <w:rPr>
          <w:sz w:val="21"/>
        </w:rPr>
        <w:t>D．取样</w:t>
      </w:r>
    </w:p>
    <w:p w14:paraId="338FEC9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6．小刚同学想给宿舍的小书架进行承重加固的改造，准备在直角铁架处焊接连接片，他在通用技术教室选取了两块长方形的铁片进行设计加工，加工该工件的合理流程是（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15D2ADC6"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429000" cy="895350"/>
            <wp:effectExtent l="0" t="0" r="0" b="3810"/>
            <wp:docPr id="100007" name="图片 100007" descr="@@@ca37eaeab8764ab684d531c954376b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ca37eaeab8764ab684d531c954376b5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D975D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A．划线→锯割→钻孔→锉削</w:t>
      </w:r>
      <w:r>
        <w:rPr>
          <w:sz w:val="21"/>
        </w:rPr>
        <w:tab/>
      </w:r>
      <w:r>
        <w:rPr>
          <w:sz w:val="21"/>
        </w:rPr>
        <w:t>B．锯割→钻孔→锉削→划线</w:t>
      </w:r>
    </w:p>
    <w:p w14:paraId="75CA2163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C．锉削→钻孔→划线→锯割</w:t>
      </w:r>
      <w:r>
        <w:rPr>
          <w:sz w:val="21"/>
        </w:rPr>
        <w:tab/>
      </w:r>
      <w:r>
        <w:rPr>
          <w:sz w:val="21"/>
        </w:rPr>
        <w:t>D．划线→锉削→锯割→钻孔</w:t>
      </w:r>
    </w:p>
    <w:p w14:paraId="428D670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7．某高中余同学在通用技术课上动手制作了一个户外写生椅，这个写生椅折起来像一个行李箱可以拖动，可以装绘画用品，摊开可以坐，还能用太阳能板给手机充电，为了检验户外写生椅的充电效果，他可采用的试验方法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17330F7E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A．优选试验法</w:t>
      </w:r>
      <w:r>
        <w:rPr>
          <w:sz w:val="21"/>
        </w:rPr>
        <w:tab/>
      </w:r>
      <w:r>
        <w:rPr>
          <w:sz w:val="21"/>
        </w:rPr>
        <w:t>B．模拟试验法</w:t>
      </w:r>
      <w:r>
        <w:rPr>
          <w:sz w:val="21"/>
        </w:rPr>
        <w:tab/>
      </w:r>
      <w:r>
        <w:rPr>
          <w:sz w:val="21"/>
        </w:rPr>
        <w:t>C．虚拟试验法</w:t>
      </w:r>
      <w:r>
        <w:rPr>
          <w:sz w:val="21"/>
        </w:rPr>
        <w:tab/>
      </w:r>
      <w:r>
        <w:rPr>
          <w:sz w:val="21"/>
        </w:rPr>
        <w:t>D．移植试验法</w:t>
      </w:r>
    </w:p>
    <w:p w14:paraId="2A204E8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8．如图所示是学生自制的“三棒孔明锁”及其评价坐标图。根据坐标图，下列分析不恰当的是（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3F0377A0"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24000" cy="1438275"/>
            <wp:effectExtent l="0" t="0" r="0" b="9525"/>
            <wp:docPr id="100009" name="图片 100009" descr="@@@ebc5d14319a9497695b388625fa6b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ebc5d14319a9497695b388625fa6b77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57375" cy="1714500"/>
            <wp:effectExtent l="0" t="0" r="1905" b="7620"/>
            <wp:docPr id="100011" name="图片 100011" descr="@@@87a8711682cf41ab8b0fb55fa8dbd8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87a8711682cf41ab8b0fb55fa8dbd86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66A70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A．结构和造型比较简单，不够创新</w:t>
      </w:r>
      <w:r>
        <w:rPr>
          <w:sz w:val="21"/>
        </w:rPr>
        <w:tab/>
      </w:r>
      <w:r>
        <w:rPr>
          <w:sz w:val="21"/>
        </w:rPr>
        <w:t>B．制作成本比较低</w:t>
      </w:r>
      <w:r>
        <w:rPr>
          <w:sz w:val="21"/>
        </w:rPr>
        <w:tab/>
      </w:r>
      <w:r>
        <w:rPr>
          <w:sz w:val="21"/>
        </w:rPr>
        <w:t>C．环保性能好</w:t>
      </w:r>
      <w:r>
        <w:rPr>
          <w:sz w:val="21"/>
        </w:rPr>
        <w:tab/>
      </w:r>
      <w:r>
        <w:rPr>
          <w:sz w:val="21"/>
        </w:rPr>
        <w:t>D．制作工艺非常精湛</w:t>
      </w:r>
    </w:p>
    <w:p w14:paraId="2E273D5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9．某款配备液晶显示的智能眼镜，具有高清摄像、识物学习、判断和动作预测等功能。下列关于该智能眼镜的说法中，正确的是（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3226766E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A．识物学习等人工智能技术的发展使智能眼镜的设计得以实现</w:t>
      </w:r>
    </w:p>
    <w:p w14:paraId="369CA1C2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B．该智能眼镜可以实现识物学习、判断和动作预测等功能，体现了技术的综合性</w:t>
      </w:r>
    </w:p>
    <w:p w14:paraId="15788517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C．使用者用眼睛控制摄像头进行拍摄，体现了技术的创新性</w:t>
      </w:r>
    </w:p>
    <w:p w14:paraId="22FEAB1F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D．该智能眼镜的产生，体现了技术的目的性</w:t>
      </w:r>
    </w:p>
    <w:p w14:paraId="6C10226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10．如图所示的机械装置，要实现电机单向转动时，伸缩杆能左右往复运动，图中虚线部分构件的结构合理的是（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49F2106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200275" cy="1876425"/>
            <wp:effectExtent l="0" t="0" r="9525" b="13335"/>
            <wp:docPr id="100013" name="图片 100013" descr="@@@68b1761cccf947caaf0a0e0c68c4bb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68b1761cccf947caaf0a0e0c68c4bb0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07ADC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33400" cy="1619250"/>
            <wp:effectExtent l="0" t="0" r="0" b="11430"/>
            <wp:docPr id="100015" name="图片 100015" descr="@@@1f05c466c2c642fa8f29377d9f75d6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1f05c466c2c642fa8f29377d9f75d6a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B．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76250" cy="1638300"/>
            <wp:effectExtent l="0" t="0" r="11430" b="7620"/>
            <wp:docPr id="100017" name="图片 100017" descr="@@@c10041cf239a4f0d9ddd1242ead4ba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c10041cf239a4f0d9ddd1242ead4bac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C．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66725" cy="1704975"/>
            <wp:effectExtent l="0" t="0" r="5715" b="1905"/>
            <wp:docPr id="100019" name="图片 100019" descr="@@@ea3f9fddc6b142449ffcd094c747d3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ea3f9fddc6b142449ffcd094c747d3a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D．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47675" cy="1685925"/>
            <wp:effectExtent l="0" t="0" r="9525" b="5715"/>
            <wp:docPr id="100021" name="图片 100021" descr="@@@bc23c338b2f240df9839d221bcbb5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bc23c338b2f240df9839d221bcbb577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B10D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11．图示为一款移动式太阳能LED交通信号灯，为了提高该结构的稳定性，以下措施合理的是（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5F17A3F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38150" cy="819150"/>
            <wp:effectExtent l="0" t="0" r="3810" b="3810"/>
            <wp:docPr id="100023" name="图片 100023" descr="@@@61a0a485930445b3b1af6e7fc2bab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61a0a485930445b3b1af6e7fc2bab79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386E2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A．增大LED灯的尺寸</w:t>
      </w:r>
      <w:r>
        <w:rPr>
          <w:sz w:val="21"/>
        </w:rPr>
        <w:tab/>
      </w:r>
      <w:r>
        <w:rPr>
          <w:sz w:val="21"/>
        </w:rPr>
        <w:t>B．增加支撑柱的高度</w:t>
      </w:r>
    </w:p>
    <w:p w14:paraId="2560A08B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C．增大底座与地面接触所形成的支撑面</w:t>
      </w:r>
      <w:r>
        <w:rPr>
          <w:sz w:val="21"/>
        </w:rPr>
        <w:tab/>
      </w:r>
      <w:r>
        <w:rPr>
          <w:sz w:val="21"/>
        </w:rPr>
        <w:t>D．增大太阳能板的面积</w:t>
      </w:r>
    </w:p>
    <w:p w14:paraId="190DE88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12．如图所示为南通市某企业产品包装上的图案，该图案标志属于知识产权中的（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1455E06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971800" cy="952500"/>
            <wp:effectExtent l="0" t="0" r="0" b="7620"/>
            <wp:docPr id="100025" name="图片 100025" descr="@@@5387852e66a54807a4b8695da168b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@@@5387852e66a54807a4b8695da168b44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53460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A．外现设计专利权</w:t>
      </w:r>
      <w:r>
        <w:rPr>
          <w:sz w:val="21"/>
        </w:rPr>
        <w:tab/>
      </w:r>
      <w:r>
        <w:rPr>
          <w:sz w:val="21"/>
        </w:rPr>
        <w:t>B．专利权</w:t>
      </w:r>
      <w:r>
        <w:rPr>
          <w:sz w:val="21"/>
        </w:rPr>
        <w:tab/>
      </w:r>
      <w:r>
        <w:rPr>
          <w:sz w:val="21"/>
        </w:rPr>
        <w:t>C．商标权</w:t>
      </w:r>
      <w:r>
        <w:rPr>
          <w:sz w:val="21"/>
        </w:rPr>
        <w:tab/>
      </w:r>
      <w:r>
        <w:rPr>
          <w:sz w:val="21"/>
        </w:rPr>
        <w:t>D．著作权</w:t>
      </w:r>
    </w:p>
    <w:p w14:paraId="0E584C1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13．老年人阅读时常用到放大镜。为使放大镜方便随身携带，小刘画了几款可折叠放大镜的设计方案草图，以下方案合理且最方便携带的是（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1121904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52475" cy="904875"/>
            <wp:effectExtent l="0" t="0" r="9525" b="9525"/>
            <wp:docPr id="100027" name="图片 100027" descr="@@@4328f27356b74b8d8567f6432a19ec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@@@4328f27356b74b8d8567f6432a19ec3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C994C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28650" cy="733425"/>
            <wp:effectExtent l="0" t="0" r="11430" b="13335"/>
            <wp:docPr id="100029" name="图片 100029" descr="@@@e7c2ee6b3786404d841ff0ff690f53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@@@e7c2ee6b3786404d841ff0ff690f53c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把手旋转折叠至与镜面重合</w:t>
      </w:r>
      <w:r>
        <w:rPr>
          <w:sz w:val="21"/>
        </w:rPr>
        <w:tab/>
      </w:r>
      <w:r>
        <w:rPr>
          <w:sz w:val="21"/>
        </w:rPr>
        <w:t>B．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47700" cy="762000"/>
            <wp:effectExtent l="0" t="0" r="7620" b="0"/>
            <wp:docPr id="100031" name="图片 100031" descr="@@@58f0992f49ed42f7b4bac226e6741a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@@@58f0992f49ed42f7b4bac226e6741a0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手柄中间对折</w:t>
      </w:r>
    </w:p>
    <w:p w14:paraId="1A3FC29C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3875" cy="904875"/>
            <wp:effectExtent l="0" t="0" r="9525" b="9525"/>
            <wp:docPr id="100033" name="图片 100033" descr="@@@6ea002ca32244e27a25b742e5a8943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@@@6ea002ca32244e27a25b742e5a89435b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镜面纵向折叠</w:t>
      </w:r>
      <w:r>
        <w:rPr>
          <w:sz w:val="21"/>
        </w:rPr>
        <w:tab/>
      </w:r>
      <w:r>
        <w:rPr>
          <w:sz w:val="21"/>
        </w:rPr>
        <w:t>D．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00075" cy="790575"/>
            <wp:effectExtent l="0" t="0" r="9525" b="1905"/>
            <wp:docPr id="100035" name="图片 100035" descr="@@@65343133dcaf4af08c508d35bc9e7c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@@@65343133dcaf4af08c508d35bc9e7cc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镜面横向折叠</w:t>
      </w:r>
    </w:p>
    <w:p w14:paraId="2DAE6EF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14．如图所示是一款专为帕金森等手抖用户设计的智能防抖勺子，能够智能识别并主动抵消手部抖动。其手柄内装有运动传感器，传感器会对动作进行测量，然后把数据传输到微控制器。微控制器会利用自订演算法，分析得出所探测震颤的类型。智能防颤控制系统的工作过程是：如果测得的运动频率和振幅达到人类大幅震颤的标准，微控制器控制手柄内的电动机，做出与震颤方向相反的运动，以此抵消震颤。此外，内置系统会自动上传手抖轨迹到云端系统，自适应算法优化，自动更新内置软件。更好配合患者的抖动轨迹改善防抖性能。从系统的角度分析，下列说法中恰当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6E8244A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486025" cy="771525"/>
            <wp:effectExtent l="0" t="0" r="13335" b="5715"/>
            <wp:docPr id="100037" name="图片 100037" descr="@@@fc9026f19bb34bbe88e31165e85e4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@@@fc9026f19bb34bbe88e31165e85e476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D0801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A．微控制器的自订演算法是影响该系统优化的约束条件</w:t>
      </w:r>
    </w:p>
    <w:p w14:paraId="6661AC2F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B．当运动传感器检测到震颤信号，电动机会做出与震颤方向相反的运动，体现了系统的动态性</w:t>
      </w:r>
    </w:p>
    <w:p w14:paraId="527ACDCE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C．设计者用数学建模的方式，分析和研究该系统防震颤效果及适用的手抖用户</w:t>
      </w:r>
    </w:p>
    <w:p w14:paraId="463E8B66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D．该系统既有防颤功能又有较强续航能力，体现了系统分析的综合性原则</w:t>
      </w:r>
    </w:p>
    <w:p w14:paraId="5DFA54C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15．如图a所示的结构由方木料榫卯连接而成，构件1，3的结构如图b所示，构件1其主视图和左视图如图c所示。加工构件1时，下列工具一定</w:t>
      </w:r>
      <w:r>
        <w:rPr>
          <w:sz w:val="21"/>
          <w:em w:val="dot"/>
          <w:lang w:eastAsia="zh-CN"/>
        </w:rPr>
        <w:t>用不到</w:t>
      </w:r>
      <w:r>
        <w:rPr>
          <w:sz w:val="21"/>
        </w:rPr>
        <w:t>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2DFAA42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057775" cy="1371600"/>
            <wp:effectExtent l="0" t="0" r="1905" b="0"/>
            <wp:docPr id="100039" name="图片 100039" descr="@@@f2122aaa14284a94802693dd7848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@@@f2122aaa14284a94802693dd7848000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B71EE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981200" cy="1200150"/>
            <wp:effectExtent l="0" t="0" r="0" b="3810"/>
            <wp:docPr id="100041" name="图片 100041" descr="@@@67ad8f1f-a822-47d5-ad26-0076c08b6d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@@@67ad8f1f-a822-47d5-ad26-0076c08b6d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B．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57325" cy="1400175"/>
            <wp:effectExtent l="0" t="0" r="5715" b="1905"/>
            <wp:docPr id="100043" name="图片 100043" descr="@@@93e805dd-14d9-4181-9a27-7169d4226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@@@93e805dd-14d9-4181-9a27-7169d422625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1533F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85925" cy="1524000"/>
            <wp:effectExtent l="0" t="0" r="5715" b="0"/>
            <wp:docPr id="100045" name="图片 100045" descr="@@@9225d673-61ab-44f5-b75f-338258a7fb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@@@9225d673-61ab-44f5-b75f-338258a7fb0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D．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81125" cy="1123950"/>
            <wp:effectExtent l="0" t="0" r="5715" b="3810"/>
            <wp:docPr id="100047" name="图片 100047" descr="@@@a6e19f34-a0f2-401e-b551-e977ca74ea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@@@a6e19f34-a0f2-401e-b551-e977ca74ea8b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7193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16．如图所示为一款简易透明打孔机，它采用了透明材料，方便观察到打孔位置，能准确快速的进行打孔。以下说法中，不属于功能评价的是（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sz w:val="21"/>
        </w:rPr>
        <w:t>）</w:t>
      </w:r>
    </w:p>
    <w:p w14:paraId="468FD27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133600" cy="1104900"/>
            <wp:effectExtent l="0" t="0" r="0" b="7620"/>
            <wp:docPr id="100049" name="图片 100049" descr="@@@956774d18375486cbc0e74e5d38a75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@@@956774d18375486cbc0e74e5d38a75f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A6785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A．采用透明材料，提高了人机交互能力</w:t>
      </w:r>
      <w:r>
        <w:rPr>
          <w:sz w:val="21"/>
        </w:rPr>
        <w:tab/>
      </w:r>
      <w:r>
        <w:rPr>
          <w:sz w:val="21"/>
        </w:rPr>
        <w:t>B．采用透明材料，提高了打孔精确度</w:t>
      </w:r>
    </w:p>
    <w:p w14:paraId="65D726D0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C．采用透明材料，使产品变得更美观</w:t>
      </w:r>
      <w:r>
        <w:rPr>
          <w:sz w:val="21"/>
        </w:rPr>
        <w:tab/>
      </w:r>
      <w:r>
        <w:rPr>
          <w:sz w:val="21"/>
        </w:rPr>
        <w:t>D．结构简单，便于操作</w:t>
      </w:r>
    </w:p>
    <w:p w14:paraId="5342EB0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17．如图所示是调压铸造炉的压力控制系统。铸造炉内抽真空及加热后，控制器控制先导阀接通控制气路，经减压阀1减压的氩气驱动背压阀接通主气路，经减压阀2减压的氩气大流量、快速进入铸造炉。压力计检测炉内压力，当压力达到设定值时背压阀断开主气路，低于设定值时背压阀接通主气路充气，使炉内压力保持稳定。下列关于压力控制系统工作过程的分析中正确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168091F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657725" cy="2495550"/>
            <wp:effectExtent l="0" t="0" r="5715" b="3810"/>
            <wp:docPr id="100051" name="图片 100051" descr="@@@095a183b4f9f4599829c7f79ded769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@@@095a183b4f9f4599829c7f79ded7694b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31C58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A．背压阀受先导阀控制，所以背压阀是被控对象</w:t>
      </w:r>
    </w:p>
    <w:p w14:paraId="05F99876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B．压力计测得的压力值传送给控制器，所以测得的压力值是输入量</w:t>
      </w:r>
    </w:p>
    <w:p w14:paraId="3EA5330C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C．经过减压阀1减压的氩气驱动背压阀接通主气路，所以减压阀1属于执行器</w:t>
      </w:r>
    </w:p>
    <w:p w14:paraId="0329547B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D．炉内压力保持稳定，气路密封性更好，所以气路密封不严属于干扰因素</w:t>
      </w:r>
    </w:p>
    <w:p w14:paraId="35F01C1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18．下列（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）材质满足厚度均匀、表面光洁平整、面积大无拼缝。</w:t>
      </w:r>
    </w:p>
    <w:p w14:paraId="4B93B7F3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A．纤维板</w:t>
      </w:r>
      <w:r>
        <w:rPr>
          <w:sz w:val="21"/>
        </w:rPr>
        <w:tab/>
      </w:r>
      <w:r>
        <w:rPr>
          <w:sz w:val="21"/>
        </w:rPr>
        <w:t>B．松木</w:t>
      </w:r>
      <w:r>
        <w:rPr>
          <w:sz w:val="21"/>
        </w:rPr>
        <w:tab/>
      </w:r>
      <w:r>
        <w:rPr>
          <w:sz w:val="21"/>
        </w:rPr>
        <w:t>C．杉木</w:t>
      </w:r>
      <w:r>
        <w:rPr>
          <w:sz w:val="21"/>
        </w:rPr>
        <w:tab/>
      </w:r>
      <w:r>
        <w:rPr>
          <w:sz w:val="21"/>
        </w:rPr>
        <w:t>D．橡木</w:t>
      </w:r>
    </w:p>
    <w:p w14:paraId="2C2F9B6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19．小明利用如图所示钳工工具，将一矩形铁块加工成梯形铁块，其加工环节主要有：划线、锯割、锉削，其使用的加工工具及先后顺序为（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7F36D29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974090"/>
            <wp:effectExtent l="0" t="0" r="12065" b="1270"/>
            <wp:docPr id="100053" name="图片 100053" descr="@@@2f52020e4cc24bc99c3531012badf7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@@@2f52020e4cc24bc99c3531012badf7bc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97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FA644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A．①③⑤⑥</w:t>
      </w:r>
      <w:r>
        <w:rPr>
          <w:sz w:val="21"/>
        </w:rPr>
        <w:tab/>
      </w:r>
      <w:r>
        <w:rPr>
          <w:sz w:val="21"/>
        </w:rPr>
        <w:t>B．①③⑥④</w:t>
      </w:r>
      <w:r>
        <w:rPr>
          <w:sz w:val="21"/>
        </w:rPr>
        <w:tab/>
      </w:r>
      <w:r>
        <w:rPr>
          <w:sz w:val="21"/>
        </w:rPr>
        <w:t>C．①②③④</w:t>
      </w:r>
      <w:r>
        <w:rPr>
          <w:sz w:val="21"/>
        </w:rPr>
        <w:tab/>
      </w:r>
      <w:r>
        <w:rPr>
          <w:sz w:val="21"/>
        </w:rPr>
        <w:t>D．①③④⑥</w:t>
      </w:r>
    </w:p>
    <w:p w14:paraId="53665D2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20．磷酸铁锂电池以其使用寿命长、低温性能好等优点，在新能源领域中脱颖而出。下列关于该电池技术的说法中</w:t>
      </w:r>
      <w:r>
        <w:rPr>
          <w:sz w:val="21"/>
          <w:em w:val="dot"/>
          <w:lang w:eastAsia="zh-CN"/>
        </w:rPr>
        <w:t>不合理</w:t>
      </w:r>
      <w:r>
        <w:rPr>
          <w:sz w:val="21"/>
        </w:rPr>
        <w:t>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6535BBED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A．在新能源领域中发挥不可替代的作用，体现了技术的专利性</w:t>
      </w:r>
    </w:p>
    <w:p w14:paraId="5171FC84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B．涉及超电子网正极技术和石墨快离子环技术，体现了技术的综合性</w:t>
      </w:r>
    </w:p>
    <w:p w14:paraId="7BFF7FD4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C．具有较长的使用寿命，符合设计的实用原则</w:t>
      </w:r>
    </w:p>
    <w:p w14:paraId="7A1F665B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D．在温度较低时保持较好的放电性能，考虑了环境的因素</w:t>
      </w:r>
    </w:p>
    <w:p w14:paraId="7A7F4E7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21．如图所示是一种双向夹紧机构的示意图。在力F的作用下，手柄驱动凸轮转动，凸轮带动压板1、螺杆、压板2运动，双向夹紧工件，下列分析中</w:t>
      </w:r>
      <w:r>
        <w:rPr>
          <w:sz w:val="21"/>
          <w:em w:val="dot"/>
          <w:lang w:eastAsia="zh-CN"/>
        </w:rPr>
        <w:t>不正确</w:t>
      </w:r>
      <w:r>
        <w:rPr>
          <w:sz w:val="21"/>
        </w:rPr>
        <w:t>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3F19989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524250" cy="2066925"/>
            <wp:effectExtent l="0" t="0" r="11430" b="5715"/>
            <wp:docPr id="100055" name="图片 100055" descr="@@@70e8cfe4d2de4240a02973445b2435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@@@70e8cfe4d2de4240a02973445b24353f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20B89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A．手柄与凸轮之间的连接属于刚连接</w:t>
      </w:r>
    </w:p>
    <w:p w14:paraId="18285329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B．工件夹紧时，弹簧2处于拉伸状态</w:t>
      </w:r>
    </w:p>
    <w:p w14:paraId="08E1A0E1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C．手柄施加力F时，螺杆向上运动</w:t>
      </w:r>
    </w:p>
    <w:p w14:paraId="0938E87B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D．工件夹紧时，压板2主要受弯曲，手柄主要受弯曲</w:t>
      </w:r>
    </w:p>
    <w:p w14:paraId="0418BC7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22．融合了力与美的体育运动，有利于增强学生体质。以下对体育器械的构件主要受力形式分析</w:t>
      </w:r>
      <w:r>
        <w:rPr>
          <w:sz w:val="21"/>
          <w:em w:val="dot"/>
          <w:lang w:eastAsia="zh-CN"/>
        </w:rPr>
        <w:t>不正确</w:t>
      </w:r>
      <w:r>
        <w:rPr>
          <w:sz w:val="21"/>
        </w:rPr>
        <w:t>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7161FA76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57250" cy="1333500"/>
            <wp:effectExtent l="0" t="0" r="11430" b="7620"/>
            <wp:docPr id="100057" name="图片 100057" descr="@@@42ede594029e4b1489426dcb62055e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@@@42ede594029e4b1489426dcb62055edb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B．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33475" cy="1228725"/>
            <wp:effectExtent l="0" t="0" r="9525" b="5715"/>
            <wp:docPr id="100059" name="图片 100059" descr="@@@23a0f5df9ba84998bed9be265b3ff7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@@@23a0f5df9ba84998bed9be265b3ff77f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C．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66775" cy="1181100"/>
            <wp:effectExtent l="0" t="0" r="1905" b="7620"/>
            <wp:docPr id="100061" name="图片 100061" descr="@@@0aefc79b9e7443ff84a78454256b4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@@@0aefc79b9e7443ff84a78454256b499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D．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04900" cy="1362075"/>
            <wp:effectExtent l="0" t="0" r="7620" b="9525"/>
            <wp:docPr id="100063" name="图片 100063" descr="@@@903c24e88e694f4ebac7791caedf0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 descr="@@@903c24e88e694f4ebac7791caedf0e1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E5C9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23．如图所示为某同学在通用技术实践课上制作的天平秤模型。从结构的角度分析，下列说法不正确的是（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4A26FB2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52525" cy="1133475"/>
            <wp:effectExtent l="0" t="0" r="5715" b="9525"/>
            <wp:docPr id="100065" name="图片 100065" descr="@@@19ad87707acc42c0b5cf1ff3c690dc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图片 100065" descr="@@@19ad87707acc42c0b5cf1ff3c690dcc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5B102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A．连接处a、b均采用较连接</w:t>
      </w:r>
    </w:p>
    <w:p w14:paraId="6A23D2F5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B．该天平秤结构为框架结构</w:t>
      </w:r>
    </w:p>
    <w:p w14:paraId="769AFB36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C．为使天平秤稳定性更好，可适当增加底部方框的大小</w:t>
      </w:r>
    </w:p>
    <w:p w14:paraId="2B11129E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D．天平秤两边放置较重重物时，悬臂受弯曲，应选用抗弯曲性能好的材料增加悬臂强度</w:t>
      </w:r>
    </w:p>
    <w:p w14:paraId="7B53BAD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24．靖海门位于如皋古城墙东北角，正中下方是城门，上方是一座四方翘檐亭楼，东西两侧是箭垛，用于战时观察和防御，外观雄伟，气势恢弘.下列属于从技术角度进行赏析的是（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sz w:val="21"/>
        </w:rPr>
        <w:t>）</w:t>
      </w:r>
    </w:p>
    <w:p w14:paraId="6C2479D0"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114550" cy="1428750"/>
            <wp:effectExtent l="0" t="0" r="3810" b="3810"/>
            <wp:docPr id="100067" name="图片 100067" descr="@@@71b12b5bfa7146438c77e0cbe9dd4f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图片 100067" descr="@@@71b12b5bfa7146438c77e0cbe9dd4f1f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8406C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A．四方翘檐亭楼呈现出灵动轻快的美感，与古城如皋相得益彰</w:t>
      </w:r>
    </w:p>
    <w:p w14:paraId="2881C115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B．翘檐结构稳固，室内采光面积增大，排泄雨水顺畅</w:t>
      </w:r>
    </w:p>
    <w:p w14:paraId="7C7ACB8C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C．靖海门城楼对了解古代防御体系有着非常重要的意义</w:t>
      </w:r>
    </w:p>
    <w:p w14:paraId="671FBE96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D．飞檐的曲线和城墙的直线和谐融合，兼顾承重和美观</w:t>
      </w:r>
    </w:p>
    <w:p w14:paraId="637E3BD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25．通用技术实践课上，用图甲的半成品加工如图乙所示的某产品（材料为钢），并要求六棱柱表面有较高的光洁度。以下操作中不正确的是（　　）</w:t>
      </w:r>
    </w:p>
    <w:p w14:paraId="43E492C8"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85850" cy="1200150"/>
            <wp:effectExtent l="0" t="0" r="11430" b="3810"/>
            <wp:docPr id="100069" name="图片 100069" descr="@@@bac2b67f06704f6a943b8819c903cc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图片 100069" descr="@@@bac2b67f06704f6a943b8819c903cc8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698E4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A．加工过程中要经过多次倒角</w:t>
      </w:r>
      <w:r>
        <w:rPr>
          <w:sz w:val="21"/>
        </w:rPr>
        <w:tab/>
      </w:r>
      <w:r>
        <w:rPr>
          <w:sz w:val="21"/>
        </w:rPr>
        <w:t>B．攻丝前必须先钻一个略小于Φ9的孔</w:t>
      </w:r>
    </w:p>
    <w:p w14:paraId="567D2DB0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C．可用钢锯锯掉图甲六棱柱厚度多余部分</w:t>
      </w:r>
      <w:r>
        <w:rPr>
          <w:sz w:val="21"/>
        </w:rPr>
        <w:tab/>
      </w:r>
      <w:r>
        <w:rPr>
          <w:sz w:val="21"/>
        </w:rPr>
        <w:t>D．合理的流程应是划线、钻孔、例角、攻丝、锉削</w:t>
      </w:r>
    </w:p>
    <w:p w14:paraId="6B21A87D">
      <w:pPr>
        <w:jc w:val="center"/>
        <w:textAlignment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6A9392BD">
      <w:pPr>
        <w:jc w:val="left"/>
        <w:textAlignment w:val="center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二、填空题</w:t>
      </w:r>
    </w:p>
    <w:p w14:paraId="064C167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26．有的矿泉水瓶上有若干凸起的横向纹路，它的作用是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</w:t>
      </w:r>
      <w:r>
        <w:rPr>
          <w:sz w:val="21"/>
        </w:rPr>
        <w:t>（A美观、降低成本B增加结构强度、美观）</w:t>
      </w:r>
    </w:p>
    <w:p w14:paraId="4C6F9A7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27．监控摄像头系统包含了控制电路、CCD感光元件、变焦镜头、转向电机等多个部分，关于该系统的分析如下：摄像头根据外界光照调整感光元件曝光强度，体现了系统的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</w:t>
      </w:r>
      <w:r>
        <w:rPr>
          <w:sz w:val="21"/>
        </w:rPr>
        <w:t>；转向电机出现故障，摄像头就不能正常工作，体现了系统的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</w:t>
      </w:r>
      <w:r>
        <w:rPr>
          <w:sz w:val="21"/>
        </w:rPr>
        <w:t>（从①环境适应性；②目的性；③整体性）</w:t>
      </w:r>
    </w:p>
    <w:p w14:paraId="3935417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28．智能饮水机已经被广泛用于家庭与办公场所，具有自动加热、保温等功能。其加热原理为：当水温较低没有达到给定温度值时，控制电路发出信号，加热器开始工作，饮水机进入加热状态，当温度上升到给定值，加热器便停止工作。请分析下述问题。</w:t>
      </w:r>
    </w:p>
    <w:p w14:paraId="71061EE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752725" cy="2219325"/>
            <wp:effectExtent l="0" t="0" r="5715" b="5715"/>
            <wp:docPr id="100071" name="图片 100071" descr="@@@a18e11fff008491ca75d40adc87d3c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图片 100071" descr="@@@a18e11fff008491ca75d40adc87d3ccd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9D75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（1）从控制过程中，人工干预的情形来分，该控制系统属于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；</w:t>
      </w:r>
    </w:p>
    <w:p w14:paraId="4628138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①人工控制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 </w:t>
      </w:r>
      <w:r>
        <w:rPr>
          <w:sz w:val="21"/>
        </w:rPr>
        <w:t>②自动控制</w:t>
      </w:r>
    </w:p>
    <w:p w14:paraId="119D75A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（2）按有无反馈分，该控制系统属于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；</w:t>
      </w:r>
    </w:p>
    <w:p w14:paraId="5ECA713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①开环控制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 </w:t>
      </w:r>
      <w:r>
        <w:rPr>
          <w:sz w:val="21"/>
        </w:rPr>
        <w:t>②闭环控制</w:t>
      </w:r>
    </w:p>
    <w:p w14:paraId="1D313BC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（3）该系统中的执行器应该是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；</w:t>
      </w:r>
    </w:p>
    <w:p w14:paraId="0FC7CBD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①控制电路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 </w:t>
      </w:r>
      <w:r>
        <w:rPr>
          <w:sz w:val="21"/>
        </w:rPr>
        <w:t>②加热器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 </w:t>
      </w:r>
      <w:r>
        <w:rPr>
          <w:sz w:val="21"/>
        </w:rPr>
        <w:t>③电源开关</w:t>
      </w:r>
    </w:p>
    <w:p w14:paraId="0FDA704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（4）该系统中的被控制对象是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；</w:t>
      </w:r>
    </w:p>
    <w:p w14:paraId="786F669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①控制电路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 </w:t>
      </w:r>
      <w:r>
        <w:rPr>
          <w:sz w:val="21"/>
        </w:rPr>
        <w:t>②加热器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 </w:t>
      </w:r>
      <w:r>
        <w:rPr>
          <w:sz w:val="21"/>
        </w:rPr>
        <w:t>③内胆中的水</w:t>
      </w:r>
    </w:p>
    <w:p w14:paraId="3FF85E5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（5）该控制系统中的输出量是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</w:t>
      </w:r>
      <w:r>
        <w:rPr>
          <w:sz w:val="21"/>
        </w:rPr>
        <w:t>；</w:t>
      </w:r>
    </w:p>
    <w:p w14:paraId="062943D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①实际水温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 </w:t>
      </w:r>
      <w:r>
        <w:rPr>
          <w:sz w:val="21"/>
        </w:rPr>
        <w:t>②预定水温</w:t>
      </w:r>
    </w:p>
    <w:p w14:paraId="3D117B82">
      <w:pPr>
        <w:jc w:val="center"/>
        <w:textAlignment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1977A12C">
      <w:pPr>
        <w:jc w:val="left"/>
        <w:textAlignment w:val="center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三、判断题</w:t>
      </w:r>
    </w:p>
    <w:p w14:paraId="6B7D46A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29．使用螺丝刀装螺丝时，螺丝刀需要承受弯曲力作用。</w:t>
      </w:r>
      <w:r>
        <w:t>(    )</w:t>
      </w:r>
    </w:p>
    <w:p w14:paraId="4D3254A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30．攻内螺纹时，一只手的掌心按住板手中部沿丝锥轴线下压，另一只手配合做逆向旋进。</w:t>
      </w:r>
      <w:r>
        <w:t>(      )</w:t>
      </w:r>
    </w:p>
    <w:p w14:paraId="7A5276F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31．技术本身就有好坏之分，所以在使用中能产生正面或负面的作用。</w:t>
      </w:r>
      <w:r>
        <w:t>(      )</w:t>
      </w:r>
    </w:p>
    <w:p w14:paraId="27C04A9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32．切削加工是工程上普遍采用的加工方法，常见的切削加工方法有锯割、铣削、磨削、钻孔、铸造等。</w:t>
      </w:r>
      <w:r>
        <w:t>(    )</w:t>
      </w:r>
    </w:p>
    <w:p w14:paraId="40057AB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33．用建模的形式对系统进行分析和研究的方法是系统科学的基本方法，建模的基础是找到不同事物或现象之间的相似点。</w:t>
      </w:r>
      <w:r>
        <w:t>(      )</w:t>
      </w:r>
    </w:p>
    <w:p w14:paraId="0B9F8EB9">
      <w:pPr>
        <w:jc w:val="center"/>
        <w:textAlignment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38A5A9F5">
      <w:pPr>
        <w:jc w:val="left"/>
        <w:textAlignment w:val="center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四、简答题</w:t>
      </w:r>
    </w:p>
    <w:p w14:paraId="14DC534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34．有一种药品的说明书上关于用法和用药量的说明是这样写的：口服，每片含有效成份0.25克，成人一次服1000mg，每日2次，或遵医嘱。说明书这样阐述用法用量的方式违反了说明书写作的哪些要求？请你将其修改得更明确、易读。</w:t>
      </w:r>
    </w:p>
    <w:p w14:paraId="5C3A41B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35．有一支筷子，这支筷子的容许应力为50N/cmi，此处截面积为4cm</w:t>
      </w:r>
      <w:r>
        <w:rPr>
          <w:sz w:val="21"/>
          <w:vertAlign w:val="superscript"/>
        </w:rPr>
        <w:t>2</w:t>
      </w:r>
      <w:r>
        <w:rPr>
          <w:sz w:val="21"/>
        </w:rPr>
        <w:t>，如果外界给它一个外力，使它产生180N的内力，筷子会不会断？</w:t>
      </w:r>
    </w:p>
    <w:p w14:paraId="2E7ADBA0">
      <w:pPr>
        <w:jc w:val="center"/>
        <w:textAlignment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37CA42AA">
      <w:pPr>
        <w:jc w:val="left"/>
        <w:textAlignment w:val="center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五、作图题</w:t>
      </w:r>
    </w:p>
    <w:p w14:paraId="4FA2E64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36．请画出下列构件的三视图，构件长120mm，宽25mm、高40mm，两孔直径均为20mm,小孔圆心离构件中心距离均为40mm，构件两端圆弧直径均为40mm ，要求：画出尺寸界线、尺寸线，标注尺寸数字，制图比例 1∶2。</w:t>
      </w:r>
    </w:p>
    <w:p w14:paraId="7B04EB72">
      <w:pPr>
        <w:jc w:val="center"/>
        <w:textAlignment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75E7F97B">
      <w:pPr>
        <w:jc w:val="left"/>
        <w:textAlignment w:val="center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六、分析题</w:t>
      </w:r>
    </w:p>
    <w:p w14:paraId="6581345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37．南通某中学高中通用技术6人课外学习小组计划对相同尺寸的松木板、密度板、刨花板进行强度试验。</w:t>
      </w:r>
    </w:p>
    <w:p w14:paraId="6409621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其流程为；A试验准备（10分钟）；B完成松木板的强度试验并记录数据（20分钟）；C完成密度板的强度试验并记录数据（20分钟）；D完成制花板的强度试验并记录数据（20分钟）3；E分析数据并完成试验报告（30分钟）。按照上述流程共需要100分钟。</w:t>
      </w:r>
    </w:p>
    <w:p w14:paraId="4800955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(1)请你对该小组的试验流程进行优化，画出合理且用时最短的方框流程图（环节内容用题中字母表示）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 </w:t>
      </w:r>
    </w:p>
    <w:p w14:paraId="7813971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(2)优化后的流程节省了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 </w:t>
      </w:r>
      <w:r>
        <w:rPr>
          <w:sz w:val="21"/>
        </w:rPr>
        <w:t>分钟</w:t>
      </w:r>
    </w:p>
    <w:p w14:paraId="3D9F9CDF">
      <w:pPr>
        <w:jc w:val="center"/>
        <w:textAlignment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523E1B74">
      <w:pPr>
        <w:jc w:val="left"/>
        <w:textAlignment w:val="center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七、综合题</w:t>
      </w:r>
    </w:p>
    <w:p w14:paraId="1B0E847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38．小明想给弟弟设计一台电动摇摆车。如图所示的小车，长1250mm，宽750mm，小车底部已经固定有一根截面为30mm×30mm的方钢。请你帮助小明设计一个底座，设计要求如下：</w:t>
      </w:r>
    </w:p>
    <w:p w14:paraId="3F1A285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47825" cy="1390650"/>
            <wp:effectExtent l="0" t="0" r="13335" b="11430"/>
            <wp:docPr id="100073" name="图片 100073" descr="@@@ad893f760b2c4bec98917d096c49cf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3" name="图片 100073" descr="@@@ad893f760b2c4bec98917d096c49cf9d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6622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（a）能与方钢连接，稳定支撑小车；</w:t>
      </w:r>
    </w:p>
    <w:p w14:paraId="22EBE04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（b）能驱动小车上下、前后摆动；</w:t>
      </w:r>
    </w:p>
    <w:p w14:paraId="4295A87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（c）采用一个电机驱动；</w:t>
      </w:r>
    </w:p>
    <w:p w14:paraId="341EC1E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（d）材料和连接方式自选。</w:t>
      </w:r>
    </w:p>
    <w:p w14:paraId="5B5A919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请完成以下任务：</w:t>
      </w:r>
    </w:p>
    <w:p w14:paraId="2DC6E67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(1)设计该装置时，</w:t>
      </w:r>
      <w:r>
        <w:rPr>
          <w:sz w:val="21"/>
          <w:em w:val="dot"/>
          <w:lang w:eastAsia="zh-CN"/>
        </w:rPr>
        <w:t>不需</w:t>
      </w:r>
      <w:r>
        <w:rPr>
          <w:sz w:val="21"/>
        </w:rPr>
        <w:t>考虑的是（多选）______</w:t>
      </w:r>
    </w:p>
    <w:p w14:paraId="0230B029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A．小车的太小</w:t>
      </w:r>
      <w:r>
        <w:rPr>
          <w:sz w:val="21"/>
        </w:rPr>
        <w:tab/>
      </w:r>
      <w:r>
        <w:rPr>
          <w:sz w:val="21"/>
        </w:rPr>
        <w:t>B．小车的颜色</w:t>
      </w:r>
    </w:p>
    <w:p w14:paraId="5CF898D0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C．小车的载重</w:t>
      </w:r>
      <w:r>
        <w:rPr>
          <w:sz w:val="21"/>
        </w:rPr>
        <w:tab/>
      </w:r>
      <w:r>
        <w:rPr>
          <w:sz w:val="21"/>
        </w:rPr>
        <w:t>D．单次使用的时长</w:t>
      </w:r>
    </w:p>
    <w:p w14:paraId="6F70D4C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(2)请在头脑中构思符合设计要求的多个方案，并画出其中最优方案的设计草图（电机可用方框表示），简要说明方案的工作过程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</w:t>
      </w:r>
    </w:p>
    <w:p w14:paraId="12F54B1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(3)在草图上标注主要尺寸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 </w:t>
      </w:r>
    </w:p>
    <w:p w14:paraId="1233AFA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 w14:paraId="58952D9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 w14:paraId="038CB84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 w14:paraId="5188C05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 w14:paraId="4288A93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 w14:paraId="644C9FD9">
      <w:pPr>
        <w:shd w:val="clear" w:color="auto" w:fill="auto"/>
        <w:spacing w:line="360" w:lineRule="auto"/>
        <w:jc w:val="left"/>
        <w:textAlignment w:val="center"/>
        <w:rPr>
          <w:sz w:val="21"/>
        </w:rPr>
        <w:sectPr>
          <w:footerReference r:id="rId3" w:type="default"/>
          <w:footerReference r:id="rId4" w:type="even"/>
          <w:pgSz w:w="23814" w:h="16840" w:orient="landscape"/>
          <w:pgMar w:top="1134" w:right="1000" w:bottom="1134" w:left="2500" w:header="851" w:footer="692" w:gutter="0"/>
          <w:cols w:space="425" w:num="2" w:sep="1"/>
          <w:docGrid w:type="lines" w:linePitch="312" w:charSpace="0"/>
        </w:sectPr>
      </w:pPr>
    </w:p>
    <w:p w14:paraId="6D489CF6">
      <w:pPr>
        <w:jc w:val="center"/>
        <w:textAlignment w:val="center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《2025年5月20日高中通用技术作业》参考答案</w:t>
      </w:r>
    </w:p>
    <w:tbl>
      <w:tblPr>
        <w:tblStyle w:val="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1"/>
        <w:gridCol w:w="370"/>
        <w:gridCol w:w="371"/>
        <w:gridCol w:w="371"/>
        <w:gridCol w:w="371"/>
        <w:gridCol w:w="371"/>
        <w:gridCol w:w="371"/>
        <w:gridCol w:w="371"/>
        <w:gridCol w:w="371"/>
        <w:gridCol w:w="448"/>
        <w:gridCol w:w="371"/>
      </w:tblGrid>
      <w:tr w14:paraId="644E8E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C325035">
            <w:pPr>
              <w:jc w:val="center"/>
              <w:textAlignment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CDB9516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1584A1F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923E3C9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6DB1BE4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217461A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7908AE7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E503B50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560AC4E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8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65E91C5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9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D17A177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10</w:t>
            </w:r>
          </w:p>
        </w:tc>
      </w:tr>
      <w:tr w14:paraId="124DED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FFA85A8">
            <w:pPr>
              <w:jc w:val="center"/>
              <w:textAlignment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EB4930C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6840650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22F4EC6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C2FD375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175D687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BE81722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6DBFCB0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06D56C5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91E17A3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ACD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B19EEBB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</w:tr>
      <w:tr w14:paraId="72C703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84A5F90">
            <w:pPr>
              <w:jc w:val="center"/>
              <w:textAlignment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BD13CCE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F285E18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8341E35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CCE09C3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06D462B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6BD5FB2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A78BFA3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048816C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18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4A5ABE6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19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06BD547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20</w:t>
            </w:r>
          </w:p>
        </w:tc>
      </w:tr>
      <w:tr w14:paraId="28CD13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5648F20">
            <w:pPr>
              <w:jc w:val="center"/>
              <w:textAlignment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1281A76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E5E69B7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1932C69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D0ED841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63279D1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F13720C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5EEA4FC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4242B62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38E4135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00D7A07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</w:tr>
      <w:tr w14:paraId="102653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E8DB8A0">
            <w:pPr>
              <w:jc w:val="center"/>
              <w:textAlignment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ACF9854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21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F6D7F0D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22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B0A909E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23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07DF7AB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24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971BF8F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25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14767FB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088136C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CF5FC1F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11C62FD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F44B425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</w:tr>
      <w:tr w14:paraId="417E09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504C632">
            <w:pPr>
              <w:jc w:val="center"/>
              <w:textAlignment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FAEAF5E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33DC0F5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F8373F7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82C4F32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88E9D5B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F8B24BC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798BE60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37A5305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F850FBC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B8A18DF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</w:tr>
    </w:tbl>
    <w:p w14:paraId="248C0317">
      <w:pPr>
        <w:jc w:val="center"/>
        <w:textAlignment w:val="center"/>
        <w:rPr>
          <w:rFonts w:ascii="宋体" w:hAnsi="宋体" w:eastAsia="宋体" w:cs="宋体"/>
          <w:b/>
          <w:i w:val="0"/>
          <w:color w:val="000000"/>
          <w:sz w:val="21"/>
        </w:rPr>
      </w:pPr>
    </w:p>
    <w:p w14:paraId="39D3781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1．A</w:t>
      </w:r>
    </w:p>
    <w:p w14:paraId="77AE26A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【详解】电车的耗电情况与充电桩充电系统无关，其余三个选项均会影响该充电桩充电系统。</w:t>
      </w:r>
    </w:p>
    <w:p w14:paraId="1F4E78C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2．C</w:t>
      </w:r>
    </w:p>
    <w:p w14:paraId="6CB1CE7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【解析】略</w:t>
      </w:r>
    </w:p>
    <w:p w14:paraId="1D69855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3．C</w:t>
      </w:r>
    </w:p>
    <w:p w14:paraId="105CCD0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【详解】抱歉，这道题目暂时还没有解析内容，感谢您的理解与支持！</w:t>
      </w:r>
    </w:p>
    <w:p w14:paraId="574DB6B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4．B</w:t>
      </w:r>
    </w:p>
    <w:p w14:paraId="77D455B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【解析】略</w:t>
      </w:r>
    </w:p>
    <w:p w14:paraId="1CB87F3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5．A</w:t>
      </w:r>
    </w:p>
    <w:p w14:paraId="3289194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【解析】略</w:t>
      </w:r>
    </w:p>
    <w:p w14:paraId="671CD56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6．A</w:t>
      </w:r>
    </w:p>
    <w:p w14:paraId="224C2E3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【解析】略</w:t>
      </w:r>
    </w:p>
    <w:p w14:paraId="0B80DD8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7．B</w:t>
      </w:r>
    </w:p>
    <w:p w14:paraId="6434A98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【解析】略</w:t>
      </w:r>
    </w:p>
    <w:p w14:paraId="575EA10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8．A</w:t>
      </w:r>
    </w:p>
    <w:p w14:paraId="21B408B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【解析】略</w:t>
      </w:r>
    </w:p>
    <w:p w14:paraId="1FE450A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9．ACD</w:t>
      </w:r>
    </w:p>
    <w:p w14:paraId="11BD51B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【详解】略</w:t>
      </w:r>
    </w:p>
    <w:p w14:paraId="0CB564A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10．B</w:t>
      </w:r>
    </w:p>
    <w:p w14:paraId="1268CC7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【详解】抱歉，这道题目暂时还没有解析内容，感谢您的理解与支持！</w:t>
      </w:r>
    </w:p>
    <w:p w14:paraId="0EAF0F4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11．C</w:t>
      </w:r>
    </w:p>
    <w:p w14:paraId="4757DE1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【解析】略</w:t>
      </w:r>
    </w:p>
    <w:p w14:paraId="6019470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12．C</w:t>
      </w:r>
    </w:p>
    <w:p w14:paraId="56F35A7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【解析】略</w:t>
      </w:r>
    </w:p>
    <w:p w14:paraId="7CBC1C4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13．A</w:t>
      </w:r>
    </w:p>
    <w:p w14:paraId="0D39654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【解析】略</w:t>
      </w:r>
    </w:p>
    <w:p w14:paraId="2B5DF71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14．C</w:t>
      </w:r>
    </w:p>
    <w:p w14:paraId="1503CE2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【解析】略</w:t>
      </w:r>
    </w:p>
    <w:p w14:paraId="221D284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15．D</w:t>
      </w:r>
    </w:p>
    <w:p w14:paraId="15111D8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【解析】略</w:t>
      </w:r>
    </w:p>
    <w:p w14:paraId="371B644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16．C</w:t>
      </w:r>
    </w:p>
    <w:p w14:paraId="4442BB7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【解析】略</w:t>
      </w:r>
    </w:p>
    <w:p w14:paraId="3FBC56F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17．D</w:t>
      </w:r>
    </w:p>
    <w:p w14:paraId="2C63E08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该系统的控制目的是控制铸造炉内的压力，故铸造炉是被控对象，A错误。输出量为铸造炉炉内压力，由于输出量被检测，存在反馈，为闭环控制系统，输入量为设定压力，B错误。执行器为背压阀，C错误。气路密封不严会影响炉内压力，且不是输入量，故为干扰因素，D正确。</w:t>
      </w:r>
    </w:p>
    <w:p w14:paraId="27AD758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18．A</w:t>
      </w:r>
    </w:p>
    <w:p w14:paraId="1936F64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【解析】略</w:t>
      </w:r>
    </w:p>
    <w:p w14:paraId="64B420C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19．B</w:t>
      </w:r>
    </w:p>
    <w:p w14:paraId="365ED71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【解析】略</w:t>
      </w:r>
    </w:p>
    <w:p w14:paraId="70A688A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20．A</w:t>
      </w:r>
    </w:p>
    <w:p w14:paraId="0AC3A12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【详解】略</w:t>
      </w:r>
    </w:p>
    <w:p w14:paraId="65596F9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21．B</w:t>
      </w:r>
    </w:p>
    <w:p w14:paraId="0649666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【详解】本题考查连接方式、结构受力。工件夹紧时，弹簧处于拉伸状态，A项错误。</w:t>
      </w:r>
    </w:p>
    <w:p w14:paraId="50E0195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22．B</w:t>
      </w:r>
    </w:p>
    <w:p w14:paraId="6256DE6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【解析】略</w:t>
      </w:r>
    </w:p>
    <w:p w14:paraId="6BB1C3E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23．A</w:t>
      </w:r>
    </w:p>
    <w:p w14:paraId="1372A8E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【解析】略</w:t>
      </w:r>
    </w:p>
    <w:p w14:paraId="7431961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24．B</w:t>
      </w:r>
    </w:p>
    <w:p w14:paraId="66A6E84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【详解】略</w:t>
      </w:r>
    </w:p>
    <w:p w14:paraId="664655F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25．C</w:t>
      </w:r>
    </w:p>
    <w:p w14:paraId="044DC8D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【解析】略</w:t>
      </w:r>
    </w:p>
    <w:p w14:paraId="5E66AE6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26．B</w:t>
      </w:r>
    </w:p>
    <w:p w14:paraId="5778100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【解析】略</w:t>
      </w:r>
    </w:p>
    <w:p w14:paraId="2DEDDB0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27．     ①     ③</w:t>
      </w:r>
    </w:p>
    <w:p w14:paraId="0FE5CB9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【解析】略</w:t>
      </w:r>
    </w:p>
    <w:p w14:paraId="7080B1D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28．     ②     ②     ②     ③     ②</w:t>
      </w:r>
    </w:p>
    <w:p w14:paraId="5499529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【解析】略</w:t>
      </w:r>
    </w:p>
    <w:p w14:paraId="4090D66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29．错误</w:t>
      </w:r>
    </w:p>
    <w:p w14:paraId="0B0B431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【解析】略</w:t>
      </w:r>
    </w:p>
    <w:p w14:paraId="56FFC24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30．错误</w:t>
      </w:r>
    </w:p>
    <w:p w14:paraId="3A2732E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【解析】略</w:t>
      </w:r>
    </w:p>
    <w:p w14:paraId="41CE81D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31．错误</w:t>
      </w:r>
    </w:p>
    <w:p w14:paraId="28F51DF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【解析】略</w:t>
      </w:r>
    </w:p>
    <w:p w14:paraId="54EFBD6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32．错误</w:t>
      </w:r>
    </w:p>
    <w:p w14:paraId="12ECEC9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 w14:paraId="6EC9BA4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【解析】略</w:t>
      </w:r>
    </w:p>
    <w:p w14:paraId="7BC0980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33．正确</w:t>
      </w:r>
    </w:p>
    <w:p w14:paraId="283DF6B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【解析】略</w:t>
      </w:r>
    </w:p>
    <w:p w14:paraId="7B941E3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34．一、原说明书存在的问题单位不统一在药品说明书中，前面提到每片含有效成份的单位是“克”，而后面成人一次服用量的单位是“毫克”。这种单位不统一的情况违反了说明书应清晰明确的要求，容易给使用者造成混淆。</w:t>
      </w:r>
    </w:p>
    <w:p w14:paraId="3370E78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二、修改后的说明书：口服，每片含有效成份0.25克（250毫克），成人一次服1片，每日2次，或遵医嘱。</w:t>
      </w:r>
    </w:p>
    <w:p w14:paraId="0056B6B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【解析】略</w:t>
      </w:r>
    </w:p>
    <w:p w14:paraId="0FBE799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35．不会。应力 σ=F/S=180/4=45&lt;50，受力小于容许应力，所以筷子不会断。</w:t>
      </w:r>
    </w:p>
    <w:p w14:paraId="24A881F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【解析】略</w:t>
      </w:r>
    </w:p>
    <w:p w14:paraId="0716435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36．略</w:t>
      </w:r>
    </w:p>
    <w:p w14:paraId="21CCBA8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【解析】略</w:t>
      </w:r>
    </w:p>
    <w:p w14:paraId="0B36EB8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37．(1)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62075" cy="819150"/>
            <wp:effectExtent l="0" t="0" r="9525" b="3810"/>
            <wp:docPr id="1901007181" name="图片 1901007181" descr="@@@cb9707ead3bb4cecbd10f88941cf4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007181" name="图片 1901007181" descr="@@@cb9707ead3bb4cecbd10f88941cf433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B139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(2)40</w:t>
      </w:r>
    </w:p>
    <w:p w14:paraId="010BA47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【详解】略</w:t>
      </w:r>
    </w:p>
    <w:p w14:paraId="58680E4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38．(1)BD</w:t>
      </w:r>
    </w:p>
    <w:p w14:paraId="6DE50F6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(2)执行机构：①装置能驱动小车上下运动；②装置能驱动小车前后运动；③采用一个电机驱动；固定机构：④能稳定支撑小车；</w:t>
      </w:r>
    </w:p>
    <w:p w14:paraId="760CD8B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857500" cy="1695450"/>
            <wp:effectExtent l="0" t="0" r="7620" b="11430"/>
            <wp:docPr id="1562583231" name="图片 1562583231" descr="@@@3fb4984ba3644dd39dc43c6ffcb97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583231" name="图片 1562583231" descr="@@@3fb4984ba3644dd39dc43c6ffcb9751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6C7B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(3)在设计草图上标注主要尺寸：①底座尺寸大于1000mm×600mm； ②匹配与方钢连接处的尺寸：30mm×30mm； ③其他合理尺寸。</w:t>
      </w:r>
    </w:p>
    <w:p w14:paraId="3BC8D72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【详解】1.设计该摇摆装置时，需要考虑结构的承重、运行时间、运动幅度等因素，因此小车的载重C 与电机和支撑结构的选型、散热等密切相关，必须予以考虑；而小车颜色 (B)、单次使用时长D 亦不影响结构与功能，因此 B、D 可不予考虑。</w:t>
      </w:r>
    </w:p>
    <w:p w14:paraId="46FBC15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2.评分标准：画出设计草图，执行机构：①装置能驱动小车上下运动；②装置能驱动小车前后运动；③采用一个电机驱动；固定机构：④能稳定支撑小车</w:t>
      </w:r>
    </w:p>
    <w:p w14:paraId="6299868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3. 在设计草图上标注主要尺寸：①底座尺寸大于1000mm×600mm；②匹配与方钢连接处的尺寸：30mm×30mm；③其他合理尺寸</w:t>
      </w:r>
    </w:p>
    <w:p w14:paraId="72833A8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sectPr>
      <w:headerReference r:id="rId5" w:type="default"/>
      <w:footerReference r:id="rId7" w:type="default"/>
      <w:headerReference r:id="rId6" w:type="even"/>
      <w:footerReference r:id="rId8" w:type="even"/>
      <w:pgSz w:w="11907" w:h="16839"/>
      <w:pgMar w:top="1440" w:right="1800" w:bottom="1440" w:left="1800" w:header="851" w:footer="425" w:gutter="0"/>
      <w:pgNumType w:start="1"/>
      <w:cols w:space="425" w:num="2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87C124">
    <w:pPr>
      <w:jc w:val="center"/>
    </w:pPr>
    <w:r>
      <w:rPr>
        <w:rFonts w:hint="eastAsia"/>
      </w:rPr>
      <w:t>第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rPr>
        <w:rFonts w:hint="eastAsia"/>
      </w:rPr>
      <w:instrText xml:space="preserve">*2-1</w:instrText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 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rPr>
        <w:rFonts w:hint="eastAsia"/>
      </w:rPr>
      <w:instrText xml:space="preserve">*2</w:instrText>
    </w:r>
    <w:r>
      <w:instrText xml:space="preserve">  </w:instrText>
    </w:r>
    <w:r>
      <w:fldChar w:fldCharType="separate"/>
    </w:r>
    <w:r>
      <w:t>4</w:t>
    </w:r>
    <w:r>
      <w:fldChar w:fldCharType="end"/>
    </w:r>
    <w:r>
      <w:rPr>
        <w:rFonts w:hint="eastAsia"/>
      </w:rPr>
      <w:t xml:space="preserve">页          </w:t>
    </w:r>
    <w:r>
      <w:rPr>
        <w:rFonts w:hint="eastAsia" w:ascii="宋体" w:hAnsi="宋体" w:eastAsia="宋体"/>
      </w:rPr>
      <w:t>◎</w:t>
    </w:r>
    <w:r>
      <w:rPr>
        <w:rFonts w:hint="eastAsia"/>
      </w:rPr>
      <w:t xml:space="preserve">          第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rPr>
        <w:rFonts w:hint="eastAsia"/>
      </w:rPr>
      <w:instrText xml:space="preserve">*2</w:instrText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 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rPr>
        <w:rFonts w:hint="eastAsia"/>
      </w:rPr>
      <w:instrText xml:space="preserve">*2</w:instrText>
    </w:r>
    <w:r>
      <w:instrText xml:space="preserve">  </w:instrText>
    </w:r>
    <w:r>
      <w:fldChar w:fldCharType="separate"/>
    </w:r>
    <w:r>
      <w:t>4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35DE8B">
    <w:pPr>
      <w:jc w:val="center"/>
    </w:pPr>
    <w:r>
      <w:rPr>
        <w:rFonts w:hint="eastAsia"/>
      </w:rPr>
      <w:t>第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rPr>
        <w:rFonts w:hint="eastAsia"/>
      </w:rPr>
      <w:instrText xml:space="preserve">*2-1</w:instrText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 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rPr>
        <w:rFonts w:hint="eastAsia"/>
      </w:rPr>
      <w:instrText xml:space="preserve">*2</w:instrText>
    </w:r>
    <w:r>
      <w:instrText xml:space="preserve">  </w:instrText>
    </w:r>
    <w:r>
      <w:fldChar w:fldCharType="separate"/>
    </w:r>
    <w:r>
      <w:t>4</w:t>
    </w:r>
    <w:r>
      <w:fldChar w:fldCharType="end"/>
    </w:r>
    <w:r>
      <w:rPr>
        <w:rFonts w:hint="eastAsia"/>
      </w:rPr>
      <w:t xml:space="preserve">页          </w:t>
    </w:r>
    <w:r>
      <w:rPr>
        <w:rFonts w:hint="eastAsia" w:ascii="宋体" w:hAnsi="宋体" w:eastAsia="宋体"/>
      </w:rPr>
      <w:t>◎</w:t>
    </w:r>
    <w:r>
      <w:rPr>
        <w:rFonts w:hint="eastAsia"/>
      </w:rPr>
      <w:t xml:space="preserve">          第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rPr>
        <w:rFonts w:hint="eastAsia"/>
      </w:rPr>
      <w:instrText xml:space="preserve">*2</w:instrText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 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rPr>
        <w:rFonts w:hint="eastAsia"/>
      </w:rPr>
      <w:instrText xml:space="preserve">*2</w:instrText>
    </w:r>
    <w:r>
      <w:instrText xml:space="preserve">  </w:instrText>
    </w:r>
    <w:r>
      <w:fldChar w:fldCharType="separate"/>
    </w:r>
    <w:r>
      <w:t>4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435C9F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BACDD1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13B60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96A73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mirrorMargins w:val="1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4E46D8"/>
    <w:rsid w:val="00537201"/>
    <w:rsid w:val="0064153B"/>
    <w:rsid w:val="006A4C40"/>
    <w:rsid w:val="006B16C5"/>
    <w:rsid w:val="006B322F"/>
    <w:rsid w:val="00776133"/>
    <w:rsid w:val="00811C76"/>
    <w:rsid w:val="008C07DE"/>
    <w:rsid w:val="009E611B"/>
    <w:rsid w:val="00A30CCE"/>
    <w:rsid w:val="00AC3E9C"/>
    <w:rsid w:val="00BC2225"/>
    <w:rsid w:val="00BC4F14"/>
    <w:rsid w:val="00BF535F"/>
    <w:rsid w:val="00C806B0"/>
    <w:rsid w:val="00CE4DB5"/>
    <w:rsid w:val="00D304EF"/>
    <w:rsid w:val="00E476EE"/>
    <w:rsid w:val="00EF035E"/>
    <w:rsid w:val="00F16B29"/>
    <w:rsid w:val="00FA429B"/>
    <w:rsid w:val="01A86E6E"/>
    <w:rsid w:val="20EA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uiPriority w:val="99"/>
    <w:rPr>
      <w:sz w:val="18"/>
      <w:szCs w:val="18"/>
    </w:rPr>
  </w:style>
  <w:style w:type="character" w:customStyle="1" w:styleId="7">
    <w:name w:val="页脚 Char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0" Type="http://schemas.openxmlformats.org/officeDocument/2006/relationships/fontTable" Target="fontTable.xml"/><Relationship Id="rId5" Type="http://schemas.openxmlformats.org/officeDocument/2006/relationships/header" Target="header1.xml"/><Relationship Id="rId49" Type="http://schemas.openxmlformats.org/officeDocument/2006/relationships/customXml" Target="../customXml/item1.xml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footer" Target="foot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footer" Target="foot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D8B74-E658-41D0-A583-9C5836944D7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2323</Words>
  <Characters>2392</Characters>
  <Lines>0</Lines>
  <Paragraphs>0</Paragraphs>
  <TotalTime>3</TotalTime>
  <ScaleCrop>false</ScaleCrop>
  <LinksUpToDate>false</LinksUpToDate>
  <CharactersWithSpaces>2498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2017-07-19T12:07:00Z</dcterms:created>
  <dc:creator>组卷网zujuan.xkw.com</dc:creator>
  <cp:lastModifiedBy>徐家驹</cp:lastModifiedBy>
  <dcterms:modified xsi:type="dcterms:W3CDTF">2025-05-20T03:12:26Z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bb14d82cfcbd4f5d8e6f62f87df775f7mte3nta2njayng</vt:lpwstr>
  </property>
  <property fmtid="{D5CDD505-2E9C-101B-9397-08002B2CF9AE}" pid="4" name="KSOTemplateDocerSaveRecord">
    <vt:lpwstr>eyJoZGlkIjoiMTg2NjJhZWJlMzliMTM0Y2ZkMWY3ZDE5YWMyZWI1Y2YiLCJ1c2VySWQiOiIxNjg2MjAzNjcxIn0=</vt:lpwstr>
  </property>
  <property fmtid="{D5CDD505-2E9C-101B-9397-08002B2CF9AE}" pid="5" name="KSOProductBuildVer">
    <vt:lpwstr>2052-12.1.0.20305</vt:lpwstr>
  </property>
  <property fmtid="{D5CDD505-2E9C-101B-9397-08002B2CF9AE}" pid="6" name="ICV">
    <vt:lpwstr>A257A11C3B0B49BC89B5C25162941DBC_12</vt:lpwstr>
  </property>
</Properties>
</file>